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A3" w:rsidRPr="008C0985" w:rsidRDefault="000D3A0A" w:rsidP="00E90BA2">
      <w:pPr>
        <w:spacing w:after="0"/>
        <w:rPr>
          <w:rFonts w:ascii="Arial" w:hAnsi="Arial" w:cs="Arial"/>
          <w:sz w:val="24"/>
          <w:szCs w:val="24"/>
        </w:rPr>
      </w:pPr>
      <w:r>
        <w:rPr>
          <w:rFonts w:ascii="Arial" w:hAnsi="Arial" w:cs="Arial"/>
          <w:sz w:val="24"/>
          <w:szCs w:val="24"/>
        </w:rPr>
        <w:t>June 18</w:t>
      </w:r>
      <w:r w:rsidR="009205DD" w:rsidRPr="008C0985">
        <w:rPr>
          <w:rFonts w:ascii="Arial" w:hAnsi="Arial" w:cs="Arial"/>
          <w:sz w:val="24"/>
          <w:szCs w:val="24"/>
        </w:rPr>
        <w:t>, 2014</w:t>
      </w:r>
    </w:p>
    <w:p w:rsidR="00217C4B" w:rsidRDefault="00217C4B" w:rsidP="00E90BA2">
      <w:pPr>
        <w:spacing w:after="0"/>
        <w:rPr>
          <w:rFonts w:ascii="Arial" w:hAnsi="Arial" w:cs="Arial"/>
          <w:sz w:val="24"/>
          <w:szCs w:val="24"/>
        </w:rPr>
      </w:pPr>
    </w:p>
    <w:p w:rsidR="00A81B7F" w:rsidRDefault="00A81B7F" w:rsidP="00E90BA2">
      <w:pPr>
        <w:spacing w:after="0"/>
        <w:rPr>
          <w:rFonts w:ascii="Arial" w:hAnsi="Arial" w:cs="Arial"/>
          <w:sz w:val="24"/>
          <w:szCs w:val="24"/>
        </w:rPr>
      </w:pPr>
    </w:p>
    <w:p w:rsidR="009205DD" w:rsidRPr="008E23C1" w:rsidRDefault="009205DD" w:rsidP="00E90BA2">
      <w:pPr>
        <w:spacing w:after="0"/>
        <w:rPr>
          <w:rFonts w:ascii="Arial" w:hAnsi="Arial" w:cs="Arial"/>
          <w:sz w:val="24"/>
          <w:szCs w:val="24"/>
        </w:rPr>
      </w:pPr>
      <w:r w:rsidRPr="008E23C1">
        <w:rPr>
          <w:rFonts w:ascii="Arial" w:hAnsi="Arial" w:cs="Arial"/>
          <w:sz w:val="24"/>
          <w:szCs w:val="24"/>
        </w:rPr>
        <w:t>Dockets Management Branch</w:t>
      </w:r>
    </w:p>
    <w:p w:rsidR="009205DD" w:rsidRPr="008E23C1" w:rsidRDefault="009205DD" w:rsidP="00E90BA2">
      <w:pPr>
        <w:spacing w:after="0"/>
        <w:rPr>
          <w:rFonts w:ascii="Arial" w:hAnsi="Arial" w:cs="Arial"/>
          <w:sz w:val="24"/>
          <w:szCs w:val="24"/>
        </w:rPr>
      </w:pPr>
      <w:r w:rsidRPr="008E23C1">
        <w:rPr>
          <w:rFonts w:ascii="Arial" w:hAnsi="Arial" w:cs="Arial"/>
          <w:sz w:val="24"/>
          <w:szCs w:val="24"/>
        </w:rPr>
        <w:t>Food and Drug Administration</w:t>
      </w:r>
    </w:p>
    <w:p w:rsidR="009205DD" w:rsidRPr="008E23C1" w:rsidRDefault="009205DD" w:rsidP="00E90BA2">
      <w:pPr>
        <w:spacing w:after="0"/>
        <w:rPr>
          <w:rFonts w:ascii="Arial" w:hAnsi="Arial" w:cs="Arial"/>
          <w:sz w:val="24"/>
          <w:szCs w:val="24"/>
        </w:rPr>
      </w:pPr>
      <w:r w:rsidRPr="008E23C1">
        <w:rPr>
          <w:rFonts w:ascii="Arial" w:hAnsi="Arial" w:cs="Arial"/>
          <w:sz w:val="24"/>
          <w:szCs w:val="24"/>
        </w:rPr>
        <w:t>Department of Health and Human Services</w:t>
      </w:r>
    </w:p>
    <w:p w:rsidR="009205DD" w:rsidRPr="008E23C1" w:rsidRDefault="009205DD" w:rsidP="00E90BA2">
      <w:pPr>
        <w:spacing w:after="0"/>
        <w:rPr>
          <w:rFonts w:ascii="Arial" w:hAnsi="Arial" w:cs="Arial"/>
          <w:sz w:val="24"/>
          <w:szCs w:val="24"/>
        </w:rPr>
      </w:pPr>
      <w:r w:rsidRPr="008E23C1">
        <w:rPr>
          <w:rFonts w:ascii="Arial" w:hAnsi="Arial" w:cs="Arial"/>
          <w:sz w:val="24"/>
          <w:szCs w:val="24"/>
        </w:rPr>
        <w:t>Room 1061, HFA-305</w:t>
      </w:r>
    </w:p>
    <w:p w:rsidR="009205DD" w:rsidRPr="008E23C1" w:rsidRDefault="009205DD" w:rsidP="00E90BA2">
      <w:pPr>
        <w:spacing w:after="0"/>
        <w:rPr>
          <w:rFonts w:ascii="Arial" w:hAnsi="Arial" w:cs="Arial"/>
          <w:sz w:val="24"/>
          <w:szCs w:val="24"/>
        </w:rPr>
      </w:pPr>
      <w:r w:rsidRPr="008E23C1">
        <w:rPr>
          <w:rFonts w:ascii="Arial" w:hAnsi="Arial" w:cs="Arial"/>
          <w:sz w:val="24"/>
          <w:szCs w:val="24"/>
        </w:rPr>
        <w:t>5630 Fishers Lane</w:t>
      </w:r>
      <w:bookmarkStart w:id="0" w:name="_GoBack"/>
      <w:bookmarkEnd w:id="0"/>
    </w:p>
    <w:p w:rsidR="009205DD" w:rsidRPr="008E23C1" w:rsidRDefault="009205DD" w:rsidP="00E90BA2">
      <w:pPr>
        <w:spacing w:after="0"/>
        <w:rPr>
          <w:rFonts w:ascii="Arial" w:hAnsi="Arial" w:cs="Arial"/>
          <w:sz w:val="24"/>
          <w:szCs w:val="24"/>
        </w:rPr>
      </w:pPr>
      <w:r w:rsidRPr="008E23C1">
        <w:rPr>
          <w:rFonts w:ascii="Arial" w:hAnsi="Arial" w:cs="Arial"/>
          <w:sz w:val="24"/>
          <w:szCs w:val="24"/>
        </w:rPr>
        <w:t>Rockville, MD 20857</w:t>
      </w:r>
    </w:p>
    <w:p w:rsidR="00E90BA2" w:rsidRDefault="00E90BA2" w:rsidP="00E90BA2">
      <w:pPr>
        <w:spacing w:after="0"/>
        <w:rPr>
          <w:rFonts w:ascii="Arial" w:hAnsi="Arial" w:cs="Arial"/>
          <w:sz w:val="24"/>
          <w:szCs w:val="24"/>
        </w:rPr>
      </w:pPr>
    </w:p>
    <w:p w:rsidR="00A81B7F" w:rsidRDefault="00A81B7F" w:rsidP="00E90BA2">
      <w:pPr>
        <w:spacing w:after="0"/>
        <w:rPr>
          <w:rFonts w:ascii="Arial" w:hAnsi="Arial" w:cs="Arial"/>
          <w:sz w:val="24"/>
          <w:szCs w:val="24"/>
        </w:rPr>
      </w:pPr>
    </w:p>
    <w:p w:rsidR="00217C4B" w:rsidRPr="008E23C1" w:rsidRDefault="00217C4B" w:rsidP="00E90BA2">
      <w:pPr>
        <w:spacing w:after="0"/>
        <w:rPr>
          <w:rFonts w:ascii="Arial" w:hAnsi="Arial" w:cs="Arial"/>
          <w:sz w:val="24"/>
          <w:szCs w:val="24"/>
        </w:rPr>
      </w:pPr>
    </w:p>
    <w:p w:rsidR="00E90BA2" w:rsidRPr="00972169" w:rsidRDefault="00E90BA2" w:rsidP="00E90BA2">
      <w:pPr>
        <w:spacing w:after="0"/>
        <w:rPr>
          <w:rFonts w:ascii="Arial" w:hAnsi="Arial" w:cs="Arial"/>
          <w:b/>
          <w:sz w:val="24"/>
          <w:szCs w:val="24"/>
        </w:rPr>
      </w:pPr>
      <w:r w:rsidRPr="00972169">
        <w:rPr>
          <w:rFonts w:ascii="Arial" w:hAnsi="Arial" w:cs="Arial"/>
          <w:b/>
          <w:sz w:val="24"/>
          <w:szCs w:val="24"/>
        </w:rPr>
        <w:t>CITIZEN PETITION</w:t>
      </w:r>
    </w:p>
    <w:p w:rsidR="00E90BA2" w:rsidRPr="008E23C1" w:rsidRDefault="00E90BA2" w:rsidP="00E90BA2">
      <w:pPr>
        <w:spacing w:after="0"/>
        <w:rPr>
          <w:rFonts w:ascii="Arial" w:hAnsi="Arial" w:cs="Arial"/>
          <w:b/>
          <w:sz w:val="24"/>
          <w:szCs w:val="24"/>
        </w:rPr>
      </w:pPr>
    </w:p>
    <w:p w:rsidR="00E90BA2" w:rsidRPr="008E23C1" w:rsidRDefault="00E90BA2" w:rsidP="00E90BA2">
      <w:pPr>
        <w:spacing w:after="0"/>
        <w:rPr>
          <w:rFonts w:ascii="Arial" w:hAnsi="Arial" w:cs="Arial"/>
          <w:b/>
          <w:sz w:val="24"/>
          <w:szCs w:val="24"/>
        </w:rPr>
      </w:pPr>
      <w:r w:rsidRPr="008E23C1">
        <w:rPr>
          <w:rFonts w:ascii="Arial" w:hAnsi="Arial" w:cs="Arial"/>
          <w:b/>
          <w:sz w:val="24"/>
          <w:szCs w:val="24"/>
        </w:rPr>
        <w:t>RE:</w:t>
      </w:r>
      <w:r w:rsidRPr="008E23C1">
        <w:rPr>
          <w:rFonts w:ascii="Arial" w:hAnsi="Arial" w:cs="Arial"/>
          <w:b/>
          <w:sz w:val="24"/>
          <w:szCs w:val="24"/>
        </w:rPr>
        <w:tab/>
        <w:t xml:space="preserve">Licensed Name:  Levaquin  </w:t>
      </w:r>
    </w:p>
    <w:p w:rsidR="00E90BA2" w:rsidRPr="008E23C1" w:rsidRDefault="00E90BA2" w:rsidP="00E90BA2">
      <w:pPr>
        <w:spacing w:after="0"/>
        <w:rPr>
          <w:rFonts w:ascii="Arial" w:hAnsi="Arial" w:cs="Arial"/>
          <w:b/>
          <w:sz w:val="24"/>
          <w:szCs w:val="24"/>
        </w:rPr>
      </w:pPr>
      <w:r w:rsidRPr="008E23C1">
        <w:rPr>
          <w:rFonts w:ascii="Arial" w:hAnsi="Arial" w:cs="Arial"/>
          <w:b/>
          <w:sz w:val="24"/>
          <w:szCs w:val="24"/>
        </w:rPr>
        <w:tab/>
        <w:t>Active Ingredient:  Levofloxacin</w:t>
      </w:r>
    </w:p>
    <w:p w:rsidR="00E90BA2" w:rsidRPr="008E23C1" w:rsidRDefault="00E90BA2" w:rsidP="008C0985">
      <w:pPr>
        <w:spacing w:after="0"/>
        <w:ind w:left="720"/>
        <w:rPr>
          <w:rFonts w:ascii="Arial" w:hAnsi="Arial" w:cs="Arial"/>
          <w:b/>
          <w:bCs/>
          <w:sz w:val="24"/>
          <w:szCs w:val="24"/>
        </w:rPr>
      </w:pPr>
      <w:r w:rsidRPr="008E23C1">
        <w:rPr>
          <w:rFonts w:ascii="Arial" w:hAnsi="Arial" w:cs="Arial"/>
          <w:b/>
          <w:bCs/>
          <w:sz w:val="24"/>
          <w:szCs w:val="24"/>
        </w:rPr>
        <w:t>NDA 020634</w:t>
      </w:r>
    </w:p>
    <w:p w:rsidR="00E90BA2" w:rsidRPr="008E23C1" w:rsidRDefault="00E90BA2" w:rsidP="008C0985">
      <w:pPr>
        <w:spacing w:after="0"/>
        <w:ind w:left="720"/>
        <w:rPr>
          <w:rFonts w:ascii="Arial" w:hAnsi="Arial" w:cs="Arial"/>
          <w:b/>
          <w:bCs/>
          <w:sz w:val="24"/>
          <w:szCs w:val="24"/>
        </w:rPr>
      </w:pPr>
      <w:r w:rsidRPr="008E23C1">
        <w:rPr>
          <w:rFonts w:ascii="Arial" w:hAnsi="Arial" w:cs="Arial"/>
          <w:b/>
          <w:bCs/>
          <w:sz w:val="24"/>
          <w:szCs w:val="24"/>
        </w:rPr>
        <w:t xml:space="preserve">Manufactured by Johnson &amp; Johnson (Janssen </w:t>
      </w:r>
      <w:r w:rsidR="00741956" w:rsidRPr="008E23C1">
        <w:rPr>
          <w:rFonts w:ascii="Arial" w:hAnsi="Arial" w:cs="Arial"/>
          <w:b/>
          <w:bCs/>
          <w:sz w:val="24"/>
          <w:szCs w:val="24"/>
        </w:rPr>
        <w:t>Pharmaceuticals</w:t>
      </w:r>
      <w:r w:rsidRPr="008E23C1">
        <w:rPr>
          <w:rFonts w:ascii="Arial" w:hAnsi="Arial" w:cs="Arial"/>
          <w:b/>
          <w:bCs/>
          <w:sz w:val="24"/>
          <w:szCs w:val="24"/>
        </w:rPr>
        <w:t>)</w:t>
      </w:r>
    </w:p>
    <w:p w:rsidR="00E90BA2" w:rsidRPr="008E23C1" w:rsidRDefault="00E90BA2" w:rsidP="008C0985">
      <w:pPr>
        <w:spacing w:after="0"/>
        <w:ind w:left="720"/>
        <w:rPr>
          <w:rFonts w:ascii="Arial" w:hAnsi="Arial" w:cs="Arial"/>
          <w:b/>
          <w:bCs/>
          <w:sz w:val="24"/>
          <w:szCs w:val="24"/>
        </w:rPr>
      </w:pPr>
      <w:r w:rsidRPr="008E23C1">
        <w:rPr>
          <w:rFonts w:ascii="Arial" w:hAnsi="Arial" w:cs="Arial"/>
          <w:b/>
          <w:bCs/>
          <w:sz w:val="24"/>
          <w:szCs w:val="24"/>
        </w:rPr>
        <w:t>License Date:  12/20/1996</w:t>
      </w:r>
    </w:p>
    <w:p w:rsidR="008C0985" w:rsidRDefault="008C0985" w:rsidP="00E90BA2">
      <w:pPr>
        <w:spacing w:after="0"/>
        <w:ind w:left="720"/>
        <w:rPr>
          <w:rStyle w:val="Strong"/>
          <w:rFonts w:ascii="Arial" w:hAnsi="Arial" w:cs="Arial"/>
          <w:sz w:val="24"/>
          <w:szCs w:val="24"/>
        </w:rPr>
      </w:pPr>
    </w:p>
    <w:p w:rsidR="00D57A05" w:rsidRPr="008E23C1" w:rsidRDefault="00D57A05" w:rsidP="00A81B7F">
      <w:pPr>
        <w:spacing w:after="0"/>
        <w:rPr>
          <w:rStyle w:val="Strong"/>
          <w:rFonts w:ascii="Arial" w:hAnsi="Arial" w:cs="Arial"/>
          <w:sz w:val="24"/>
          <w:szCs w:val="24"/>
        </w:rPr>
      </w:pPr>
    </w:p>
    <w:p w:rsidR="008C0985" w:rsidRPr="002F38E0" w:rsidRDefault="002F38E0" w:rsidP="008C0985">
      <w:pPr>
        <w:spacing w:after="0"/>
        <w:rPr>
          <w:rStyle w:val="Strong"/>
          <w:rFonts w:ascii="Arial" w:hAnsi="Arial" w:cs="Arial"/>
          <w:b w:val="0"/>
          <w:sz w:val="24"/>
          <w:szCs w:val="24"/>
        </w:rPr>
      </w:pPr>
      <w:r w:rsidRPr="002F38E0">
        <w:rPr>
          <w:rStyle w:val="Strong"/>
          <w:rFonts w:ascii="Arial" w:hAnsi="Arial" w:cs="Arial"/>
          <w:b w:val="0"/>
          <w:sz w:val="24"/>
          <w:szCs w:val="24"/>
        </w:rPr>
        <w:t xml:space="preserve">The </w:t>
      </w:r>
      <w:r w:rsidR="008C0985" w:rsidRPr="002F38E0">
        <w:rPr>
          <w:rStyle w:val="Strong"/>
          <w:rFonts w:ascii="Arial" w:hAnsi="Arial" w:cs="Arial"/>
          <w:b w:val="0"/>
          <w:sz w:val="24"/>
          <w:szCs w:val="24"/>
        </w:rPr>
        <w:t>Southern Network on Adverse Reactions (SONAR),</w:t>
      </w:r>
      <w:r w:rsidR="00D7557A" w:rsidRPr="002F38E0">
        <w:rPr>
          <w:rStyle w:val="Strong"/>
          <w:rFonts w:ascii="Arial" w:hAnsi="Arial" w:cs="Arial"/>
          <w:b w:val="0"/>
          <w:sz w:val="24"/>
          <w:szCs w:val="24"/>
        </w:rPr>
        <w:t xml:space="preserve"> submits this Citizen Petition (Petition) under section 505 of the Federal Food, Drug, and Cosmetic Act (FDCA).  SONAR request</w:t>
      </w:r>
      <w:r>
        <w:rPr>
          <w:rStyle w:val="Strong"/>
          <w:rFonts w:ascii="Arial" w:hAnsi="Arial" w:cs="Arial"/>
          <w:b w:val="0"/>
          <w:sz w:val="24"/>
          <w:szCs w:val="24"/>
        </w:rPr>
        <w:t>s</w:t>
      </w:r>
      <w:r w:rsidR="00D7557A" w:rsidRPr="002F38E0">
        <w:rPr>
          <w:rStyle w:val="Strong"/>
          <w:rFonts w:ascii="Arial" w:hAnsi="Arial" w:cs="Arial"/>
          <w:b w:val="0"/>
          <w:sz w:val="24"/>
          <w:szCs w:val="24"/>
        </w:rPr>
        <w:t xml:space="preserve"> that the Commissioner of the Food and Drug Administration</w:t>
      </w:r>
      <w:r w:rsidR="00C356CA" w:rsidRPr="002F38E0">
        <w:rPr>
          <w:rStyle w:val="Strong"/>
          <w:rFonts w:ascii="Arial" w:hAnsi="Arial" w:cs="Arial"/>
          <w:b w:val="0"/>
          <w:sz w:val="24"/>
          <w:szCs w:val="24"/>
        </w:rPr>
        <w:t xml:space="preserve"> (FDA)</w:t>
      </w:r>
      <w:r w:rsidR="00D7557A" w:rsidRPr="002F38E0">
        <w:rPr>
          <w:rStyle w:val="Strong"/>
          <w:rFonts w:ascii="Arial" w:hAnsi="Arial" w:cs="Arial"/>
          <w:b w:val="0"/>
          <w:sz w:val="24"/>
          <w:szCs w:val="24"/>
        </w:rPr>
        <w:t xml:space="preserve"> require changes in the professional labeling for Levaquin in orde</w:t>
      </w:r>
      <w:r w:rsidR="005F4417" w:rsidRPr="002F38E0">
        <w:rPr>
          <w:rStyle w:val="Strong"/>
          <w:rFonts w:ascii="Arial" w:hAnsi="Arial" w:cs="Arial"/>
          <w:b w:val="0"/>
          <w:sz w:val="24"/>
          <w:szCs w:val="24"/>
        </w:rPr>
        <w:t>r to specify a more accurate</w:t>
      </w:r>
      <w:r w:rsidR="00D7557A" w:rsidRPr="002F38E0">
        <w:rPr>
          <w:rStyle w:val="Strong"/>
          <w:rFonts w:ascii="Arial" w:hAnsi="Arial" w:cs="Arial"/>
          <w:b w:val="0"/>
          <w:sz w:val="24"/>
          <w:szCs w:val="24"/>
        </w:rPr>
        <w:t xml:space="preserve"> benefit/risk profile for this antibiotic.</w:t>
      </w:r>
    </w:p>
    <w:p w:rsidR="00C356CA" w:rsidRPr="002F38E0" w:rsidRDefault="00C356CA" w:rsidP="008C0985">
      <w:pPr>
        <w:spacing w:after="0"/>
        <w:rPr>
          <w:rStyle w:val="Strong"/>
        </w:rPr>
      </w:pPr>
    </w:p>
    <w:p w:rsidR="00D10951" w:rsidRPr="008E23C1" w:rsidRDefault="00D10951" w:rsidP="008C0985">
      <w:pPr>
        <w:spacing w:after="0"/>
        <w:rPr>
          <w:rFonts w:ascii="Arial" w:hAnsi="Arial" w:cs="Arial"/>
          <w:color w:val="403838"/>
          <w:sz w:val="24"/>
          <w:szCs w:val="24"/>
          <w:lang w:val="en"/>
        </w:rPr>
      </w:pPr>
    </w:p>
    <w:p w:rsidR="00C356CA" w:rsidRPr="008E23C1" w:rsidRDefault="00C356CA" w:rsidP="00C356CA">
      <w:pPr>
        <w:spacing w:after="0"/>
        <w:rPr>
          <w:rStyle w:val="Strong"/>
          <w:rFonts w:ascii="Arial" w:hAnsi="Arial" w:cs="Arial"/>
          <w:sz w:val="24"/>
          <w:szCs w:val="24"/>
        </w:rPr>
      </w:pPr>
      <w:r w:rsidRPr="008E23C1">
        <w:rPr>
          <w:rStyle w:val="Strong"/>
          <w:rFonts w:ascii="Arial" w:hAnsi="Arial" w:cs="Arial"/>
          <w:sz w:val="24"/>
          <w:szCs w:val="24"/>
        </w:rPr>
        <w:t>A.</w:t>
      </w:r>
      <w:r w:rsidRPr="008E23C1">
        <w:rPr>
          <w:rStyle w:val="Strong"/>
          <w:rFonts w:ascii="Arial" w:hAnsi="Arial" w:cs="Arial"/>
          <w:sz w:val="24"/>
          <w:szCs w:val="24"/>
        </w:rPr>
        <w:tab/>
      </w:r>
      <w:r w:rsidR="00E83F28">
        <w:rPr>
          <w:rStyle w:val="Strong"/>
          <w:rFonts w:ascii="Arial" w:hAnsi="Arial" w:cs="Arial"/>
          <w:sz w:val="24"/>
          <w:szCs w:val="24"/>
        </w:rPr>
        <w:t>ACTION REQUEST</w:t>
      </w:r>
      <w:r w:rsidRPr="008E23C1">
        <w:rPr>
          <w:rStyle w:val="Strong"/>
          <w:rFonts w:ascii="Arial" w:hAnsi="Arial" w:cs="Arial"/>
          <w:sz w:val="24"/>
          <w:szCs w:val="24"/>
        </w:rPr>
        <w:t>ED</w:t>
      </w:r>
    </w:p>
    <w:p w:rsidR="00C356CA" w:rsidRPr="008E23C1" w:rsidRDefault="00C356CA" w:rsidP="00C356CA">
      <w:pPr>
        <w:spacing w:after="0"/>
        <w:rPr>
          <w:rStyle w:val="Strong"/>
          <w:rFonts w:ascii="Arial" w:hAnsi="Arial" w:cs="Arial"/>
          <w:sz w:val="24"/>
          <w:szCs w:val="24"/>
        </w:rPr>
      </w:pPr>
    </w:p>
    <w:p w:rsidR="00C356CA" w:rsidRPr="008E23C1" w:rsidRDefault="00C356CA" w:rsidP="00C356CA">
      <w:pPr>
        <w:spacing w:after="0"/>
        <w:rPr>
          <w:rStyle w:val="Strong"/>
          <w:rFonts w:ascii="Arial" w:hAnsi="Arial" w:cs="Arial"/>
          <w:b w:val="0"/>
          <w:sz w:val="24"/>
          <w:szCs w:val="24"/>
        </w:rPr>
      </w:pPr>
      <w:r w:rsidRPr="008E23C1">
        <w:rPr>
          <w:rStyle w:val="Strong"/>
          <w:rFonts w:ascii="Arial" w:hAnsi="Arial" w:cs="Arial"/>
          <w:b w:val="0"/>
          <w:sz w:val="24"/>
          <w:szCs w:val="24"/>
        </w:rPr>
        <w:t>This Petition request</w:t>
      </w:r>
      <w:r w:rsidR="00E90166">
        <w:rPr>
          <w:rStyle w:val="Strong"/>
          <w:rFonts w:ascii="Arial" w:hAnsi="Arial" w:cs="Arial"/>
          <w:b w:val="0"/>
          <w:sz w:val="24"/>
          <w:szCs w:val="24"/>
        </w:rPr>
        <w:t xml:space="preserve">s that the FDA </w:t>
      </w:r>
      <w:r w:rsidRPr="008E23C1">
        <w:rPr>
          <w:rStyle w:val="Strong"/>
          <w:rFonts w:ascii="Arial" w:hAnsi="Arial" w:cs="Arial"/>
          <w:b w:val="0"/>
          <w:sz w:val="24"/>
          <w:szCs w:val="24"/>
        </w:rPr>
        <w:t>change the professional labeling for Levaquin under Section 505(o</w:t>
      </w:r>
      <w:proofErr w:type="gramStart"/>
      <w:r w:rsidRPr="008E23C1">
        <w:rPr>
          <w:rStyle w:val="Strong"/>
          <w:rFonts w:ascii="Arial" w:hAnsi="Arial" w:cs="Arial"/>
          <w:b w:val="0"/>
          <w:sz w:val="24"/>
          <w:szCs w:val="24"/>
        </w:rPr>
        <w:t>)(</w:t>
      </w:r>
      <w:proofErr w:type="gramEnd"/>
      <w:r w:rsidRPr="008E23C1">
        <w:rPr>
          <w:rStyle w:val="Strong"/>
          <w:rFonts w:ascii="Arial" w:hAnsi="Arial" w:cs="Arial"/>
          <w:b w:val="0"/>
          <w:sz w:val="24"/>
          <w:szCs w:val="24"/>
        </w:rPr>
        <w:t>4) to FDCA or other appropriate FDCA section(s), in response to new safety information.  This action will also strengthen the quality of the Levaquin science base and decisions based on it.</w:t>
      </w:r>
    </w:p>
    <w:p w:rsidR="00C356CA" w:rsidRPr="008E23C1" w:rsidRDefault="00C356CA" w:rsidP="00C356CA">
      <w:pPr>
        <w:pStyle w:val="ListParagraph"/>
        <w:spacing w:after="0"/>
        <w:rPr>
          <w:rStyle w:val="Strong"/>
          <w:rFonts w:ascii="Arial" w:hAnsi="Arial" w:cs="Arial"/>
          <w:sz w:val="24"/>
          <w:szCs w:val="24"/>
        </w:rPr>
      </w:pPr>
    </w:p>
    <w:p w:rsidR="00C356CA" w:rsidRPr="008E23C1" w:rsidRDefault="00E1394D" w:rsidP="00C356CA">
      <w:pPr>
        <w:pStyle w:val="ListParagraph"/>
        <w:spacing w:after="0"/>
        <w:ind w:left="0"/>
        <w:rPr>
          <w:rStyle w:val="Strong"/>
          <w:rFonts w:ascii="Arial" w:hAnsi="Arial" w:cs="Arial"/>
          <w:sz w:val="24"/>
          <w:szCs w:val="24"/>
        </w:rPr>
      </w:pPr>
      <w:r>
        <w:rPr>
          <w:rStyle w:val="Strong"/>
          <w:rFonts w:ascii="Arial" w:hAnsi="Arial" w:cs="Arial"/>
          <w:sz w:val="24"/>
          <w:szCs w:val="24"/>
        </w:rPr>
        <w:t>Specifically, SONAR</w:t>
      </w:r>
      <w:r w:rsidR="00C356CA" w:rsidRPr="008E23C1">
        <w:rPr>
          <w:rStyle w:val="Strong"/>
          <w:rFonts w:ascii="Arial" w:hAnsi="Arial" w:cs="Arial"/>
          <w:sz w:val="24"/>
          <w:szCs w:val="24"/>
        </w:rPr>
        <w:t xml:space="preserve"> request</w:t>
      </w:r>
      <w:r>
        <w:rPr>
          <w:rStyle w:val="Strong"/>
          <w:rFonts w:ascii="Arial" w:hAnsi="Arial" w:cs="Arial"/>
          <w:sz w:val="24"/>
          <w:szCs w:val="24"/>
        </w:rPr>
        <w:t>s</w:t>
      </w:r>
      <w:r w:rsidR="00C356CA" w:rsidRPr="008E23C1">
        <w:rPr>
          <w:rStyle w:val="Strong"/>
          <w:rFonts w:ascii="Arial" w:hAnsi="Arial" w:cs="Arial"/>
          <w:sz w:val="24"/>
          <w:szCs w:val="24"/>
        </w:rPr>
        <w:t xml:space="preserve"> the followin</w:t>
      </w:r>
      <w:r w:rsidR="00016B83">
        <w:rPr>
          <w:rStyle w:val="Strong"/>
          <w:rFonts w:ascii="Arial" w:hAnsi="Arial" w:cs="Arial"/>
          <w:sz w:val="24"/>
          <w:szCs w:val="24"/>
        </w:rPr>
        <w:t>g changes to the Levaquin label:</w:t>
      </w:r>
    </w:p>
    <w:p w:rsidR="007B1445" w:rsidRPr="00D57A05" w:rsidRDefault="007B1445" w:rsidP="007B1445">
      <w:pPr>
        <w:spacing w:after="0"/>
        <w:rPr>
          <w:rStyle w:val="Strong"/>
          <w:rFonts w:ascii="Arial" w:hAnsi="Arial" w:cs="Arial"/>
          <w:sz w:val="24"/>
          <w:szCs w:val="24"/>
        </w:rPr>
      </w:pPr>
    </w:p>
    <w:p w:rsidR="007B1445" w:rsidRPr="00EA6E27" w:rsidRDefault="007B1445" w:rsidP="00EA6E27">
      <w:pPr>
        <w:spacing w:after="0"/>
        <w:rPr>
          <w:rStyle w:val="Strong"/>
          <w:rFonts w:ascii="Arial" w:hAnsi="Arial" w:cs="Arial"/>
          <w:sz w:val="24"/>
          <w:szCs w:val="24"/>
        </w:rPr>
      </w:pPr>
    </w:p>
    <w:p w:rsidR="00054672" w:rsidRDefault="00B753C6" w:rsidP="00054672">
      <w:pPr>
        <w:pStyle w:val="ListParagraph"/>
        <w:numPr>
          <w:ilvl w:val="0"/>
          <w:numId w:val="2"/>
        </w:numPr>
        <w:spacing w:after="0"/>
        <w:rPr>
          <w:rStyle w:val="Strong"/>
          <w:rFonts w:ascii="Arial" w:hAnsi="Arial" w:cs="Arial"/>
          <w:sz w:val="24"/>
          <w:szCs w:val="24"/>
        </w:rPr>
      </w:pPr>
      <w:r>
        <w:rPr>
          <w:rStyle w:val="Strong"/>
          <w:rFonts w:ascii="Arial" w:hAnsi="Arial" w:cs="Arial"/>
          <w:sz w:val="24"/>
          <w:szCs w:val="24"/>
        </w:rPr>
        <w:t>Add “</w:t>
      </w:r>
      <w:r w:rsidR="00054672">
        <w:rPr>
          <w:rStyle w:val="Strong"/>
          <w:rFonts w:ascii="Arial" w:hAnsi="Arial" w:cs="Arial"/>
          <w:sz w:val="24"/>
          <w:szCs w:val="24"/>
        </w:rPr>
        <w:t>Possible Mitochondrial Toxicity</w:t>
      </w:r>
      <w:r>
        <w:rPr>
          <w:rStyle w:val="Strong"/>
          <w:rFonts w:ascii="Arial" w:hAnsi="Arial" w:cs="Arial"/>
          <w:sz w:val="24"/>
          <w:szCs w:val="24"/>
        </w:rPr>
        <w:t>” to the Levaquin Label</w:t>
      </w:r>
      <w:r w:rsidR="00054672">
        <w:rPr>
          <w:rStyle w:val="Strong"/>
          <w:rFonts w:ascii="Arial" w:hAnsi="Arial" w:cs="Arial"/>
          <w:sz w:val="24"/>
          <w:szCs w:val="24"/>
        </w:rPr>
        <w:t xml:space="preserve"> </w:t>
      </w:r>
    </w:p>
    <w:p w:rsidR="00054672" w:rsidRDefault="00054672" w:rsidP="00054672">
      <w:pPr>
        <w:pStyle w:val="ListParagraph"/>
        <w:spacing w:after="0"/>
        <w:rPr>
          <w:rStyle w:val="Strong"/>
          <w:rFonts w:ascii="Arial" w:hAnsi="Arial" w:cs="Arial"/>
          <w:b w:val="0"/>
          <w:sz w:val="24"/>
          <w:szCs w:val="24"/>
        </w:rPr>
      </w:pPr>
    </w:p>
    <w:p w:rsidR="00054672" w:rsidRDefault="00054672" w:rsidP="00054672">
      <w:pPr>
        <w:pStyle w:val="ListParagraph"/>
        <w:spacing w:after="0"/>
        <w:rPr>
          <w:rStyle w:val="Strong"/>
          <w:rFonts w:ascii="Arial" w:hAnsi="Arial" w:cs="Arial"/>
          <w:b w:val="0"/>
          <w:sz w:val="24"/>
          <w:szCs w:val="24"/>
        </w:rPr>
      </w:pPr>
      <w:r>
        <w:rPr>
          <w:rStyle w:val="Strong"/>
          <w:rFonts w:ascii="Arial" w:hAnsi="Arial" w:cs="Arial"/>
          <w:b w:val="0"/>
          <w:sz w:val="24"/>
          <w:szCs w:val="24"/>
        </w:rPr>
        <w:t xml:space="preserve">It is requested that </w:t>
      </w:r>
      <w:r w:rsidRPr="00EB4984">
        <w:rPr>
          <w:rStyle w:val="Strong"/>
          <w:rFonts w:ascii="Arial" w:hAnsi="Arial" w:cs="Arial"/>
          <w:b w:val="0"/>
          <w:sz w:val="24"/>
          <w:szCs w:val="24"/>
        </w:rPr>
        <w:t>the following</w:t>
      </w:r>
      <w:r>
        <w:rPr>
          <w:rStyle w:val="Strong"/>
          <w:rFonts w:ascii="Arial" w:hAnsi="Arial" w:cs="Arial"/>
          <w:b w:val="0"/>
          <w:sz w:val="24"/>
          <w:szCs w:val="24"/>
        </w:rPr>
        <w:t xml:space="preserve"> be added to Section 5 of the Levaquin label, “Warnings and Precautions”:  </w:t>
      </w:r>
    </w:p>
    <w:p w:rsidR="00054672" w:rsidRDefault="00054672" w:rsidP="00054672">
      <w:pPr>
        <w:pStyle w:val="ListParagraph"/>
        <w:spacing w:after="0"/>
        <w:rPr>
          <w:rStyle w:val="Strong"/>
          <w:rFonts w:ascii="Arial" w:hAnsi="Arial" w:cs="Arial"/>
          <w:b w:val="0"/>
          <w:sz w:val="24"/>
          <w:szCs w:val="24"/>
        </w:rPr>
      </w:pPr>
    </w:p>
    <w:p w:rsidR="00E1394D" w:rsidRDefault="00E1394D" w:rsidP="00054672">
      <w:pPr>
        <w:pStyle w:val="Default"/>
        <w:ind w:left="1440"/>
        <w:rPr>
          <w:rFonts w:ascii="Arial" w:hAnsi="Arial" w:cs="Arial"/>
          <w:b/>
          <w:i/>
          <w:color w:val="auto"/>
        </w:rPr>
      </w:pPr>
      <w:r>
        <w:rPr>
          <w:rFonts w:ascii="Arial" w:hAnsi="Arial" w:cs="Arial"/>
          <w:b/>
          <w:i/>
          <w:color w:val="auto"/>
        </w:rPr>
        <w:lastRenderedPageBreak/>
        <w:t>Possible Mitochondrial Toxicity</w:t>
      </w:r>
    </w:p>
    <w:p w:rsidR="00054672" w:rsidRPr="00EA6E27" w:rsidRDefault="00054672" w:rsidP="00054672">
      <w:pPr>
        <w:pStyle w:val="Default"/>
        <w:ind w:left="1440"/>
        <w:rPr>
          <w:rFonts w:ascii="Arial" w:hAnsi="Arial" w:cs="Arial"/>
          <w:b/>
          <w:i/>
          <w:color w:val="auto"/>
        </w:rPr>
      </w:pPr>
      <w:r>
        <w:rPr>
          <w:rFonts w:ascii="Arial" w:hAnsi="Arial" w:cs="Arial"/>
          <w:b/>
          <w:i/>
          <w:color w:val="auto"/>
        </w:rPr>
        <w:t xml:space="preserve">Fluoroquinolones, including Levaquin, may cause Mitochondrial Toxicity due, in part, to an insufficiency of ATP.  Mitochondrial conditions that are due to an insufficiency of ATP </w:t>
      </w:r>
      <w:r w:rsidR="004D200B">
        <w:rPr>
          <w:rFonts w:ascii="Arial" w:hAnsi="Arial" w:cs="Arial"/>
          <w:b/>
          <w:i/>
          <w:color w:val="auto"/>
        </w:rPr>
        <w:t>include</w:t>
      </w:r>
      <w:r>
        <w:rPr>
          <w:rFonts w:ascii="Arial" w:hAnsi="Arial" w:cs="Arial"/>
          <w:b/>
          <w:i/>
          <w:color w:val="auto"/>
        </w:rPr>
        <w:t xml:space="preserve"> developmental disorders of the brain, optic neuropathy, neuropathic pain, hearing loss, muscle weakness, cardiomyopathy, and lactic acidosis.  Neurodegenerative diseases, like Parkinson’s, Alzheimer’s and amyotrophic lateral sclerosis (ALS) have been associated with the loss of neurons due to oxidative stress generated by reactive oxygen species (ROS)</w:t>
      </w:r>
      <w:r w:rsidR="00A81B7F">
        <w:rPr>
          <w:rFonts w:ascii="Arial" w:hAnsi="Arial" w:cs="Arial"/>
          <w:b/>
          <w:i/>
          <w:color w:val="auto"/>
        </w:rPr>
        <w:t xml:space="preserve"> related to Mitochondrial Toxicity</w:t>
      </w:r>
      <w:r w:rsidR="005A79BF">
        <w:rPr>
          <w:rFonts w:ascii="Arial" w:hAnsi="Arial" w:cs="Arial"/>
          <w:b/>
          <w:i/>
          <w:color w:val="auto"/>
        </w:rPr>
        <w:t>.</w:t>
      </w:r>
      <w:r w:rsidR="00A81B7F">
        <w:rPr>
          <w:rFonts w:ascii="Arial" w:hAnsi="Arial" w:cs="Arial"/>
          <w:b/>
          <w:i/>
          <w:color w:val="auto"/>
        </w:rPr>
        <w:t xml:space="preserve">  P</w:t>
      </w:r>
      <w:r w:rsidR="00A81B7F" w:rsidRPr="002B173D">
        <w:rPr>
          <w:rFonts w:ascii="Arial" w:hAnsi="Arial" w:cs="Arial"/>
          <w:b/>
          <w:i/>
          <w:color w:val="auto"/>
        </w:rPr>
        <w:t xml:space="preserve">eripheral neuropathy, </w:t>
      </w:r>
      <w:proofErr w:type="spellStart"/>
      <w:r w:rsidR="00A81B7F" w:rsidRPr="002B173D">
        <w:rPr>
          <w:rFonts w:ascii="Arial" w:hAnsi="Arial" w:cs="Arial"/>
          <w:b/>
          <w:i/>
          <w:color w:val="auto"/>
        </w:rPr>
        <w:t>hepatoxicity</w:t>
      </w:r>
      <w:proofErr w:type="spellEnd"/>
      <w:r w:rsidR="00A81B7F" w:rsidRPr="002B173D">
        <w:rPr>
          <w:rFonts w:ascii="Arial" w:hAnsi="Arial" w:cs="Arial"/>
          <w:b/>
          <w:i/>
          <w:color w:val="auto"/>
        </w:rPr>
        <w:t xml:space="preserve">, glucose disturbances, </w:t>
      </w:r>
      <w:r w:rsidR="00A81B7F">
        <w:rPr>
          <w:rFonts w:ascii="Arial" w:hAnsi="Arial" w:cs="Arial"/>
          <w:b/>
          <w:i/>
          <w:color w:val="auto"/>
        </w:rPr>
        <w:t xml:space="preserve">and </w:t>
      </w:r>
      <w:proofErr w:type="spellStart"/>
      <w:r w:rsidR="00A81B7F" w:rsidRPr="002B173D">
        <w:rPr>
          <w:rFonts w:ascii="Arial" w:hAnsi="Arial" w:cs="Arial"/>
          <w:b/>
          <w:i/>
          <w:color w:val="auto"/>
        </w:rPr>
        <w:t>phototoxicity</w:t>
      </w:r>
      <w:proofErr w:type="spellEnd"/>
      <w:r w:rsidR="00A81B7F">
        <w:rPr>
          <w:rFonts w:ascii="Arial" w:hAnsi="Arial" w:cs="Arial"/>
          <w:b/>
          <w:i/>
          <w:color w:val="auto"/>
        </w:rPr>
        <w:t xml:space="preserve"> may result from Mitochondrial Toxicity.</w:t>
      </w:r>
    </w:p>
    <w:p w:rsidR="00054672" w:rsidRPr="00054672" w:rsidRDefault="00054672" w:rsidP="00054672">
      <w:pPr>
        <w:spacing w:after="0"/>
        <w:rPr>
          <w:rStyle w:val="Strong"/>
          <w:rFonts w:ascii="Arial" w:hAnsi="Arial" w:cs="Arial"/>
          <w:sz w:val="24"/>
          <w:szCs w:val="24"/>
        </w:rPr>
      </w:pPr>
    </w:p>
    <w:p w:rsidR="00054672" w:rsidRDefault="00054672" w:rsidP="00054672">
      <w:pPr>
        <w:pStyle w:val="ListParagraph"/>
        <w:spacing w:after="0"/>
        <w:rPr>
          <w:rStyle w:val="Strong"/>
          <w:rFonts w:ascii="Arial" w:hAnsi="Arial" w:cs="Arial"/>
          <w:sz w:val="24"/>
          <w:szCs w:val="24"/>
        </w:rPr>
      </w:pPr>
    </w:p>
    <w:p w:rsidR="00016B83" w:rsidRDefault="004E0D48" w:rsidP="00245FE4">
      <w:pPr>
        <w:pStyle w:val="ListParagraph"/>
        <w:numPr>
          <w:ilvl w:val="0"/>
          <w:numId w:val="2"/>
        </w:numPr>
        <w:spacing w:after="0"/>
        <w:rPr>
          <w:rStyle w:val="Strong"/>
          <w:rFonts w:ascii="Arial" w:hAnsi="Arial" w:cs="Arial"/>
          <w:sz w:val="24"/>
          <w:szCs w:val="24"/>
        </w:rPr>
      </w:pPr>
      <w:r>
        <w:rPr>
          <w:rStyle w:val="Strong"/>
          <w:rFonts w:ascii="Arial" w:hAnsi="Arial" w:cs="Arial"/>
          <w:sz w:val="24"/>
          <w:szCs w:val="24"/>
        </w:rPr>
        <w:t xml:space="preserve">Add a </w:t>
      </w:r>
      <w:r w:rsidR="005F4417">
        <w:rPr>
          <w:rStyle w:val="Strong"/>
          <w:rFonts w:ascii="Arial" w:hAnsi="Arial" w:cs="Arial"/>
          <w:sz w:val="24"/>
          <w:szCs w:val="24"/>
        </w:rPr>
        <w:t>Black Box W</w:t>
      </w:r>
      <w:r w:rsidR="00C356CA" w:rsidRPr="008E23C1">
        <w:rPr>
          <w:rStyle w:val="Strong"/>
          <w:rFonts w:ascii="Arial" w:hAnsi="Arial" w:cs="Arial"/>
          <w:sz w:val="24"/>
          <w:szCs w:val="24"/>
        </w:rPr>
        <w:t>arning</w:t>
      </w:r>
      <w:r w:rsidR="00B753C6">
        <w:rPr>
          <w:rStyle w:val="Strong"/>
          <w:rFonts w:ascii="Arial" w:hAnsi="Arial" w:cs="Arial"/>
          <w:sz w:val="24"/>
          <w:szCs w:val="24"/>
        </w:rPr>
        <w:t xml:space="preserve"> to the Levaquin Label Regarding “</w:t>
      </w:r>
      <w:r>
        <w:rPr>
          <w:rStyle w:val="Strong"/>
          <w:rFonts w:ascii="Arial" w:hAnsi="Arial" w:cs="Arial"/>
          <w:sz w:val="24"/>
          <w:szCs w:val="24"/>
        </w:rPr>
        <w:t>Possible Mitochondrial Toxicity</w:t>
      </w:r>
      <w:r w:rsidR="00B753C6">
        <w:rPr>
          <w:rStyle w:val="Strong"/>
          <w:rFonts w:ascii="Arial" w:hAnsi="Arial" w:cs="Arial"/>
          <w:sz w:val="24"/>
          <w:szCs w:val="24"/>
        </w:rPr>
        <w:t>”</w:t>
      </w:r>
      <w:r w:rsidR="00DA75C4">
        <w:rPr>
          <w:rStyle w:val="Strong"/>
          <w:rFonts w:ascii="Arial" w:hAnsi="Arial" w:cs="Arial"/>
          <w:sz w:val="24"/>
          <w:szCs w:val="24"/>
        </w:rPr>
        <w:t xml:space="preserve"> </w:t>
      </w:r>
    </w:p>
    <w:p w:rsidR="00245FE4" w:rsidRDefault="00245FE4" w:rsidP="00245FE4">
      <w:pPr>
        <w:pStyle w:val="ListParagraph"/>
        <w:spacing w:after="0"/>
        <w:rPr>
          <w:rStyle w:val="Strong"/>
          <w:rFonts w:ascii="Arial" w:hAnsi="Arial" w:cs="Arial"/>
          <w:sz w:val="24"/>
          <w:szCs w:val="24"/>
        </w:rPr>
      </w:pPr>
    </w:p>
    <w:p w:rsidR="00016B83" w:rsidRPr="00016B83" w:rsidRDefault="00016B83" w:rsidP="00016B83">
      <w:pPr>
        <w:pStyle w:val="ListParagraph"/>
        <w:spacing w:after="0"/>
        <w:rPr>
          <w:rStyle w:val="Strong"/>
          <w:rFonts w:ascii="Arial" w:hAnsi="Arial" w:cs="Arial"/>
          <w:b w:val="0"/>
          <w:sz w:val="24"/>
          <w:szCs w:val="24"/>
        </w:rPr>
      </w:pPr>
      <w:r w:rsidRPr="00016B83">
        <w:rPr>
          <w:rStyle w:val="Strong"/>
          <w:rFonts w:ascii="Arial" w:hAnsi="Arial" w:cs="Arial"/>
          <w:b w:val="0"/>
          <w:sz w:val="24"/>
          <w:szCs w:val="24"/>
        </w:rPr>
        <w:t>It is request</w:t>
      </w:r>
      <w:r>
        <w:rPr>
          <w:rStyle w:val="Strong"/>
          <w:rFonts w:ascii="Arial" w:hAnsi="Arial" w:cs="Arial"/>
          <w:b w:val="0"/>
          <w:sz w:val="24"/>
          <w:szCs w:val="24"/>
        </w:rPr>
        <w:t xml:space="preserve">ed that a </w:t>
      </w:r>
      <w:r w:rsidRPr="00016B83">
        <w:rPr>
          <w:rStyle w:val="Strong"/>
          <w:rFonts w:ascii="Arial" w:hAnsi="Arial" w:cs="Arial"/>
          <w:b w:val="0"/>
          <w:sz w:val="24"/>
          <w:szCs w:val="24"/>
        </w:rPr>
        <w:t xml:space="preserve">Black Box Warning be added </w:t>
      </w:r>
      <w:r>
        <w:rPr>
          <w:rStyle w:val="Strong"/>
          <w:rFonts w:ascii="Arial" w:hAnsi="Arial" w:cs="Arial"/>
          <w:b w:val="0"/>
          <w:sz w:val="24"/>
          <w:szCs w:val="24"/>
        </w:rPr>
        <w:t xml:space="preserve">to the Levaquin label </w:t>
      </w:r>
      <w:r w:rsidRPr="00016B83">
        <w:rPr>
          <w:rStyle w:val="Strong"/>
          <w:rFonts w:ascii="Arial" w:hAnsi="Arial" w:cs="Arial"/>
          <w:b w:val="0"/>
          <w:sz w:val="24"/>
          <w:szCs w:val="24"/>
        </w:rPr>
        <w:t xml:space="preserve">regarding </w:t>
      </w:r>
      <w:r w:rsidR="00B753C6">
        <w:rPr>
          <w:rStyle w:val="Strong"/>
          <w:rFonts w:ascii="Arial" w:hAnsi="Arial" w:cs="Arial"/>
          <w:b w:val="0"/>
          <w:sz w:val="24"/>
          <w:szCs w:val="24"/>
        </w:rPr>
        <w:t>“</w:t>
      </w:r>
      <w:r w:rsidR="004E0D48">
        <w:rPr>
          <w:rStyle w:val="Strong"/>
          <w:rFonts w:ascii="Arial" w:hAnsi="Arial" w:cs="Arial"/>
          <w:b w:val="0"/>
          <w:sz w:val="24"/>
          <w:szCs w:val="24"/>
        </w:rPr>
        <w:t>Possible Mitochondrial Toxicity</w:t>
      </w:r>
      <w:r w:rsidR="00B753C6">
        <w:rPr>
          <w:rStyle w:val="Strong"/>
          <w:rFonts w:ascii="Arial" w:hAnsi="Arial" w:cs="Arial"/>
          <w:b w:val="0"/>
          <w:sz w:val="24"/>
          <w:szCs w:val="24"/>
        </w:rPr>
        <w:t>”</w:t>
      </w:r>
      <w:r w:rsidR="004E0D48">
        <w:rPr>
          <w:rStyle w:val="Strong"/>
          <w:rFonts w:ascii="Arial" w:hAnsi="Arial" w:cs="Arial"/>
          <w:b w:val="0"/>
          <w:sz w:val="24"/>
          <w:szCs w:val="24"/>
        </w:rPr>
        <w:t xml:space="preserve"> </w:t>
      </w:r>
      <w:r>
        <w:rPr>
          <w:rStyle w:val="Strong"/>
          <w:rFonts w:ascii="Arial" w:hAnsi="Arial" w:cs="Arial"/>
          <w:b w:val="0"/>
          <w:sz w:val="24"/>
          <w:szCs w:val="24"/>
        </w:rPr>
        <w:t>as follows:</w:t>
      </w:r>
    </w:p>
    <w:p w:rsidR="00D57A05" w:rsidRDefault="00D57A05" w:rsidP="007B1445">
      <w:pPr>
        <w:pStyle w:val="Default"/>
        <w:rPr>
          <w:rFonts w:ascii="Arial" w:hAnsi="Arial" w:cs="Arial"/>
          <w:b/>
          <w:color w:val="auto"/>
        </w:rPr>
      </w:pPr>
    </w:p>
    <w:p w:rsidR="002B173D" w:rsidRPr="002B173D" w:rsidRDefault="002B173D" w:rsidP="002B173D">
      <w:pPr>
        <w:pStyle w:val="Default"/>
        <w:ind w:left="1440"/>
        <w:rPr>
          <w:rFonts w:ascii="Arial" w:hAnsi="Arial" w:cs="Arial"/>
          <w:b/>
          <w:i/>
          <w:color w:val="auto"/>
        </w:rPr>
      </w:pPr>
      <w:r w:rsidRPr="002B173D">
        <w:rPr>
          <w:rFonts w:ascii="Arial" w:hAnsi="Arial" w:cs="Arial"/>
          <w:b/>
          <w:i/>
          <w:color w:val="auto"/>
        </w:rPr>
        <w:t>WARNING: POSSIBLE MITOCHONDRIAL TOXICITY</w:t>
      </w:r>
    </w:p>
    <w:p w:rsidR="002B173D" w:rsidRPr="002B173D" w:rsidRDefault="002B173D" w:rsidP="002B173D">
      <w:pPr>
        <w:pStyle w:val="Default"/>
        <w:ind w:left="1440"/>
        <w:rPr>
          <w:rFonts w:ascii="Arial" w:hAnsi="Arial" w:cs="Arial"/>
          <w:b/>
          <w:i/>
          <w:color w:val="auto"/>
        </w:rPr>
      </w:pPr>
      <w:r w:rsidRPr="002B173D">
        <w:rPr>
          <w:rFonts w:ascii="Arial" w:hAnsi="Arial" w:cs="Arial"/>
          <w:b/>
          <w:i/>
          <w:color w:val="auto"/>
        </w:rPr>
        <w:t>Fluoroquinolones may cause Mitochondrial Toxicity</w:t>
      </w:r>
      <w:r w:rsidR="0091647D">
        <w:rPr>
          <w:rFonts w:ascii="Arial" w:hAnsi="Arial" w:cs="Arial"/>
          <w:b/>
          <w:i/>
          <w:color w:val="auto"/>
        </w:rPr>
        <w:t xml:space="preserve">.  Mitochondrial Toxicity has been implicated </w:t>
      </w:r>
      <w:r w:rsidRPr="002B173D">
        <w:rPr>
          <w:rFonts w:ascii="Arial" w:hAnsi="Arial" w:cs="Arial"/>
          <w:b/>
          <w:i/>
          <w:color w:val="auto"/>
        </w:rPr>
        <w:t xml:space="preserve">in conditions such as peripheral neuropathy, </w:t>
      </w:r>
      <w:proofErr w:type="spellStart"/>
      <w:r w:rsidRPr="002B173D">
        <w:rPr>
          <w:rFonts w:ascii="Arial" w:hAnsi="Arial" w:cs="Arial"/>
          <w:b/>
          <w:i/>
          <w:color w:val="auto"/>
        </w:rPr>
        <w:t>hepatoxicity</w:t>
      </w:r>
      <w:proofErr w:type="spellEnd"/>
      <w:r w:rsidRPr="002B173D">
        <w:rPr>
          <w:rFonts w:ascii="Arial" w:hAnsi="Arial" w:cs="Arial"/>
          <w:b/>
          <w:i/>
          <w:color w:val="auto"/>
        </w:rPr>
        <w:t xml:space="preserve">, glucose disturbances, </w:t>
      </w:r>
      <w:proofErr w:type="spellStart"/>
      <w:r w:rsidRPr="002B173D">
        <w:rPr>
          <w:rFonts w:ascii="Arial" w:hAnsi="Arial" w:cs="Arial"/>
          <w:b/>
          <w:i/>
          <w:color w:val="auto"/>
        </w:rPr>
        <w:t>phototoxicity</w:t>
      </w:r>
      <w:proofErr w:type="spellEnd"/>
      <w:r w:rsidRPr="002B173D">
        <w:rPr>
          <w:rFonts w:ascii="Arial" w:hAnsi="Arial" w:cs="Arial"/>
          <w:b/>
          <w:i/>
          <w:color w:val="auto"/>
        </w:rPr>
        <w:t>, developmental disorders of the brain, optic neuropathy, neuropathic pain, hearing loss, muscle weakness, cardiomyopathy, lactic acidosis, Parkinson’s, Alzheimer’s, and amyotrophic lateral sclerosis (ALS).</w:t>
      </w:r>
    </w:p>
    <w:p w:rsidR="00245FE4" w:rsidRDefault="00245FE4" w:rsidP="002B173D">
      <w:pPr>
        <w:pStyle w:val="Default"/>
        <w:rPr>
          <w:rFonts w:ascii="Arial" w:hAnsi="Arial" w:cs="Arial"/>
          <w:b/>
          <w:i/>
          <w:color w:val="auto"/>
        </w:rPr>
      </w:pPr>
    </w:p>
    <w:p w:rsidR="00EE7756" w:rsidRDefault="00EE7756" w:rsidP="00016B83">
      <w:pPr>
        <w:pStyle w:val="Default"/>
        <w:ind w:left="1440"/>
        <w:rPr>
          <w:rFonts w:ascii="Arial" w:hAnsi="Arial" w:cs="Arial"/>
          <w:b/>
          <w:i/>
          <w:color w:val="auto"/>
        </w:rPr>
      </w:pPr>
    </w:p>
    <w:p w:rsidR="00245FE4" w:rsidRDefault="00FB0712" w:rsidP="00245FE4">
      <w:pPr>
        <w:pStyle w:val="ListParagraph"/>
        <w:numPr>
          <w:ilvl w:val="0"/>
          <w:numId w:val="2"/>
        </w:numPr>
        <w:spacing w:after="0"/>
        <w:rPr>
          <w:rStyle w:val="Strong"/>
          <w:rFonts w:ascii="Arial" w:hAnsi="Arial" w:cs="Arial"/>
          <w:sz w:val="24"/>
          <w:szCs w:val="24"/>
        </w:rPr>
      </w:pPr>
      <w:r>
        <w:rPr>
          <w:rStyle w:val="Strong"/>
          <w:rFonts w:ascii="Arial" w:hAnsi="Arial" w:cs="Arial"/>
          <w:sz w:val="24"/>
          <w:szCs w:val="24"/>
        </w:rPr>
        <w:t>Based on the severity</w:t>
      </w:r>
      <w:r w:rsidR="00245FE4">
        <w:rPr>
          <w:rStyle w:val="Strong"/>
          <w:rFonts w:ascii="Arial" w:hAnsi="Arial" w:cs="Arial"/>
          <w:sz w:val="24"/>
          <w:szCs w:val="24"/>
        </w:rPr>
        <w:t xml:space="preserve"> of “Possible Mitochondrial Toxicity,” SONAR requests: </w:t>
      </w:r>
    </w:p>
    <w:p w:rsidR="00245FE4" w:rsidRDefault="00245FE4" w:rsidP="00245FE4">
      <w:pPr>
        <w:pStyle w:val="ListParagraph"/>
        <w:spacing w:after="0"/>
        <w:rPr>
          <w:rStyle w:val="Strong"/>
          <w:rFonts w:ascii="Arial" w:hAnsi="Arial" w:cs="Arial"/>
          <w:sz w:val="24"/>
          <w:szCs w:val="24"/>
        </w:rPr>
      </w:pPr>
    </w:p>
    <w:p w:rsidR="00245FE4" w:rsidRDefault="00245FE4" w:rsidP="00245FE4">
      <w:pPr>
        <w:pStyle w:val="ListParagraph"/>
        <w:numPr>
          <w:ilvl w:val="1"/>
          <w:numId w:val="2"/>
        </w:numPr>
        <w:spacing w:after="0"/>
        <w:rPr>
          <w:rStyle w:val="Strong"/>
          <w:rFonts w:ascii="Arial" w:hAnsi="Arial" w:cs="Arial"/>
          <w:sz w:val="24"/>
          <w:szCs w:val="24"/>
        </w:rPr>
      </w:pPr>
      <w:r>
        <w:rPr>
          <w:rStyle w:val="Strong"/>
          <w:rFonts w:ascii="Arial" w:hAnsi="Arial" w:cs="Arial"/>
          <w:sz w:val="24"/>
          <w:szCs w:val="24"/>
        </w:rPr>
        <w:t xml:space="preserve">Levaquin label changes </w:t>
      </w:r>
      <w:proofErr w:type="gramStart"/>
      <w:r>
        <w:rPr>
          <w:rStyle w:val="Strong"/>
          <w:rFonts w:ascii="Arial" w:hAnsi="Arial" w:cs="Arial"/>
          <w:sz w:val="24"/>
          <w:szCs w:val="24"/>
        </w:rPr>
        <w:t>be</w:t>
      </w:r>
      <w:proofErr w:type="gramEnd"/>
      <w:r>
        <w:rPr>
          <w:rStyle w:val="Strong"/>
          <w:rFonts w:ascii="Arial" w:hAnsi="Arial" w:cs="Arial"/>
          <w:sz w:val="24"/>
          <w:szCs w:val="24"/>
        </w:rPr>
        <w:t xml:space="preserve"> made immediately.</w:t>
      </w:r>
    </w:p>
    <w:p w:rsidR="00245FE4" w:rsidRDefault="00245FE4" w:rsidP="00245FE4">
      <w:pPr>
        <w:pStyle w:val="ListParagraph"/>
        <w:spacing w:after="0"/>
        <w:ind w:left="1440"/>
        <w:rPr>
          <w:rStyle w:val="Strong"/>
          <w:rFonts w:ascii="Arial" w:hAnsi="Arial" w:cs="Arial"/>
          <w:sz w:val="24"/>
          <w:szCs w:val="24"/>
        </w:rPr>
      </w:pPr>
    </w:p>
    <w:p w:rsidR="00245FE4" w:rsidRPr="00245FE4" w:rsidRDefault="00AC041F" w:rsidP="00245FE4">
      <w:pPr>
        <w:pStyle w:val="ListParagraph"/>
        <w:numPr>
          <w:ilvl w:val="1"/>
          <w:numId w:val="2"/>
        </w:numPr>
        <w:spacing w:after="0"/>
        <w:rPr>
          <w:rStyle w:val="Strong"/>
          <w:rFonts w:ascii="Arial" w:hAnsi="Arial" w:cs="Arial"/>
          <w:sz w:val="24"/>
          <w:szCs w:val="24"/>
        </w:rPr>
      </w:pPr>
      <w:r>
        <w:rPr>
          <w:rStyle w:val="Strong"/>
          <w:rFonts w:ascii="Arial" w:hAnsi="Arial" w:cs="Arial"/>
          <w:sz w:val="24"/>
          <w:szCs w:val="24"/>
        </w:rPr>
        <w:t>“</w:t>
      </w:r>
      <w:r w:rsidR="00245FE4">
        <w:rPr>
          <w:rStyle w:val="Strong"/>
          <w:rFonts w:ascii="Arial" w:hAnsi="Arial" w:cs="Arial"/>
          <w:sz w:val="24"/>
          <w:szCs w:val="24"/>
        </w:rPr>
        <w:t>Dear Doctor</w:t>
      </w:r>
      <w:r>
        <w:rPr>
          <w:rStyle w:val="Strong"/>
          <w:rFonts w:ascii="Arial" w:hAnsi="Arial" w:cs="Arial"/>
          <w:sz w:val="24"/>
          <w:szCs w:val="24"/>
        </w:rPr>
        <w:t>”</w:t>
      </w:r>
      <w:r w:rsidR="00245FE4">
        <w:rPr>
          <w:rStyle w:val="Strong"/>
          <w:rFonts w:ascii="Arial" w:hAnsi="Arial" w:cs="Arial"/>
          <w:sz w:val="24"/>
          <w:szCs w:val="24"/>
        </w:rPr>
        <w:t xml:space="preserve"> letters be distributed regarding Levaquin label changes and requesting that physicians inform patients</w:t>
      </w:r>
      <w:r w:rsidR="00A81B7F">
        <w:rPr>
          <w:rStyle w:val="Strong"/>
          <w:rFonts w:ascii="Arial" w:hAnsi="Arial" w:cs="Arial"/>
          <w:sz w:val="24"/>
          <w:szCs w:val="24"/>
        </w:rPr>
        <w:t xml:space="preserve"> about</w:t>
      </w:r>
      <w:r w:rsidR="00245FE4">
        <w:rPr>
          <w:rStyle w:val="Strong"/>
          <w:rFonts w:ascii="Arial" w:hAnsi="Arial" w:cs="Arial"/>
          <w:sz w:val="24"/>
          <w:szCs w:val="24"/>
        </w:rPr>
        <w:t xml:space="preserve"> the potential </w:t>
      </w:r>
      <w:r w:rsidR="00EE7756">
        <w:rPr>
          <w:rStyle w:val="Strong"/>
          <w:rFonts w:ascii="Arial" w:hAnsi="Arial" w:cs="Arial"/>
          <w:sz w:val="24"/>
          <w:szCs w:val="24"/>
        </w:rPr>
        <w:t>impact</w:t>
      </w:r>
      <w:r w:rsidR="00245FE4">
        <w:rPr>
          <w:rStyle w:val="Strong"/>
          <w:rFonts w:ascii="Arial" w:hAnsi="Arial" w:cs="Arial"/>
          <w:sz w:val="24"/>
          <w:szCs w:val="24"/>
        </w:rPr>
        <w:t xml:space="preserve"> of “</w:t>
      </w:r>
      <w:r w:rsidR="00603E71">
        <w:rPr>
          <w:rStyle w:val="Strong"/>
          <w:rFonts w:ascii="Arial" w:hAnsi="Arial" w:cs="Arial"/>
          <w:sz w:val="24"/>
          <w:szCs w:val="24"/>
        </w:rPr>
        <w:t>Possible Mitochondrial Toxicity</w:t>
      </w:r>
      <w:r w:rsidR="00245FE4">
        <w:rPr>
          <w:rStyle w:val="Strong"/>
          <w:rFonts w:ascii="Arial" w:hAnsi="Arial" w:cs="Arial"/>
          <w:sz w:val="24"/>
          <w:szCs w:val="24"/>
        </w:rPr>
        <w:t>”</w:t>
      </w:r>
      <w:r w:rsidR="00603E71">
        <w:rPr>
          <w:rStyle w:val="Strong"/>
          <w:rFonts w:ascii="Arial" w:hAnsi="Arial" w:cs="Arial"/>
          <w:sz w:val="24"/>
          <w:szCs w:val="24"/>
        </w:rPr>
        <w:t xml:space="preserve"> if they were previously prescribed this drug.</w:t>
      </w:r>
    </w:p>
    <w:p w:rsidR="00245FE4" w:rsidRPr="00245FE4" w:rsidRDefault="00245FE4" w:rsidP="00245FE4">
      <w:pPr>
        <w:spacing w:after="0"/>
        <w:rPr>
          <w:rStyle w:val="Strong"/>
          <w:rFonts w:ascii="Arial" w:hAnsi="Arial" w:cs="Arial"/>
          <w:sz w:val="24"/>
          <w:szCs w:val="24"/>
        </w:rPr>
      </w:pPr>
    </w:p>
    <w:p w:rsidR="00D10951" w:rsidRDefault="00D10951" w:rsidP="00B733C5">
      <w:pPr>
        <w:rPr>
          <w:rFonts w:ascii="Arial" w:hAnsi="Arial" w:cs="Arial"/>
          <w:color w:val="403838"/>
          <w:sz w:val="24"/>
          <w:szCs w:val="24"/>
          <w:lang w:val="en"/>
        </w:rPr>
      </w:pPr>
    </w:p>
    <w:p w:rsidR="00E83F28" w:rsidRDefault="00E83F28" w:rsidP="00E83F28">
      <w:pPr>
        <w:pStyle w:val="ListParagraph"/>
        <w:ind w:left="0"/>
        <w:rPr>
          <w:rFonts w:ascii="Arial" w:hAnsi="Arial" w:cs="Arial"/>
          <w:b/>
          <w:color w:val="403838"/>
          <w:sz w:val="24"/>
          <w:szCs w:val="24"/>
          <w:lang w:val="en"/>
        </w:rPr>
      </w:pPr>
      <w:r w:rsidRPr="00E83F28">
        <w:rPr>
          <w:rFonts w:ascii="Arial" w:hAnsi="Arial" w:cs="Arial"/>
          <w:b/>
          <w:color w:val="403838"/>
          <w:sz w:val="24"/>
          <w:szCs w:val="24"/>
          <w:lang w:val="en"/>
        </w:rPr>
        <w:t xml:space="preserve">B.  </w:t>
      </w:r>
      <w:r>
        <w:rPr>
          <w:rFonts w:ascii="Arial" w:hAnsi="Arial" w:cs="Arial"/>
          <w:b/>
          <w:color w:val="403838"/>
          <w:sz w:val="24"/>
          <w:szCs w:val="24"/>
          <w:lang w:val="en"/>
        </w:rPr>
        <w:tab/>
      </w:r>
      <w:r w:rsidRPr="00E83F28">
        <w:rPr>
          <w:rFonts w:ascii="Arial" w:hAnsi="Arial" w:cs="Arial"/>
          <w:b/>
          <w:color w:val="403838"/>
          <w:sz w:val="24"/>
          <w:szCs w:val="24"/>
          <w:lang w:val="en"/>
        </w:rPr>
        <w:t>STATEMENT OF GROUNDS</w:t>
      </w:r>
    </w:p>
    <w:p w:rsidR="00596F68" w:rsidRDefault="00596F68" w:rsidP="00E83F28">
      <w:pPr>
        <w:pStyle w:val="ListParagraph"/>
        <w:ind w:left="0"/>
        <w:rPr>
          <w:rFonts w:ascii="Arial" w:hAnsi="Arial" w:cs="Arial"/>
          <w:b/>
          <w:color w:val="403838"/>
          <w:sz w:val="24"/>
          <w:szCs w:val="24"/>
          <w:lang w:val="en"/>
        </w:rPr>
      </w:pPr>
    </w:p>
    <w:p w:rsidR="00597E31" w:rsidRDefault="00596F68" w:rsidP="00E83F28">
      <w:pPr>
        <w:pStyle w:val="ListParagraph"/>
        <w:ind w:left="0"/>
        <w:rPr>
          <w:rFonts w:ascii="Arial" w:hAnsi="Arial" w:cs="Arial"/>
          <w:color w:val="403838"/>
          <w:sz w:val="24"/>
          <w:szCs w:val="24"/>
          <w:lang w:val="en"/>
        </w:rPr>
      </w:pPr>
      <w:r w:rsidRPr="00597E31">
        <w:rPr>
          <w:rFonts w:ascii="Arial" w:hAnsi="Arial" w:cs="Arial"/>
          <w:color w:val="403838"/>
          <w:sz w:val="24"/>
          <w:szCs w:val="24"/>
          <w:lang w:val="en"/>
        </w:rPr>
        <w:t>The “ACTIONS REQUESTED” are based on</w:t>
      </w:r>
      <w:r w:rsidR="00462795">
        <w:rPr>
          <w:rFonts w:ascii="Arial" w:hAnsi="Arial" w:cs="Arial"/>
          <w:color w:val="403838"/>
          <w:sz w:val="24"/>
          <w:szCs w:val="24"/>
          <w:lang w:val="en"/>
        </w:rPr>
        <w:t xml:space="preserve"> information</w:t>
      </w:r>
      <w:r w:rsidR="00597E31">
        <w:rPr>
          <w:rFonts w:ascii="Arial" w:hAnsi="Arial" w:cs="Arial"/>
          <w:color w:val="403838"/>
          <w:sz w:val="24"/>
          <w:szCs w:val="24"/>
          <w:lang w:val="en"/>
        </w:rPr>
        <w:t xml:space="preserve"> in the</w:t>
      </w:r>
      <w:r w:rsidR="0022088A">
        <w:rPr>
          <w:rFonts w:ascii="Arial" w:hAnsi="Arial" w:cs="Arial"/>
          <w:color w:val="403838"/>
          <w:sz w:val="24"/>
          <w:szCs w:val="24"/>
          <w:lang w:val="en"/>
        </w:rPr>
        <w:t xml:space="preserve"> </w:t>
      </w:r>
      <w:r w:rsidR="00597E31">
        <w:rPr>
          <w:rFonts w:ascii="Arial" w:hAnsi="Arial" w:cs="Arial"/>
          <w:color w:val="403838"/>
          <w:sz w:val="24"/>
          <w:szCs w:val="24"/>
          <w:lang w:val="en"/>
        </w:rPr>
        <w:t xml:space="preserve">April 17, 2013 </w:t>
      </w:r>
      <w:r w:rsidR="00BD2AE0">
        <w:rPr>
          <w:rFonts w:ascii="Arial" w:hAnsi="Arial" w:cs="Arial"/>
          <w:color w:val="403838"/>
          <w:sz w:val="24"/>
          <w:szCs w:val="24"/>
          <w:lang w:val="en"/>
        </w:rPr>
        <w:t xml:space="preserve">FDA </w:t>
      </w:r>
      <w:r w:rsidR="00597E31">
        <w:rPr>
          <w:rFonts w:ascii="Arial" w:hAnsi="Arial" w:cs="Arial"/>
          <w:color w:val="403838"/>
          <w:sz w:val="24"/>
          <w:szCs w:val="24"/>
          <w:lang w:val="en"/>
        </w:rPr>
        <w:t>document, “Department of Health and Human Services, Public Health Service, Food and Drug Administration, Center for Drug Evaluation and Research, Office of Surveillance and Epidem</w:t>
      </w:r>
      <w:r w:rsidR="00D17365">
        <w:rPr>
          <w:rFonts w:ascii="Arial" w:hAnsi="Arial" w:cs="Arial"/>
          <w:color w:val="403838"/>
          <w:sz w:val="24"/>
          <w:szCs w:val="24"/>
          <w:lang w:val="en"/>
        </w:rPr>
        <w:t>iology” which identified the “S</w:t>
      </w:r>
      <w:r w:rsidR="00597E31">
        <w:rPr>
          <w:rFonts w:ascii="Arial" w:hAnsi="Arial" w:cs="Arial"/>
          <w:color w:val="403838"/>
          <w:sz w:val="24"/>
          <w:szCs w:val="24"/>
          <w:lang w:val="en"/>
        </w:rPr>
        <w:t>ubject</w:t>
      </w:r>
      <w:r w:rsidR="00D17365">
        <w:rPr>
          <w:rFonts w:ascii="Arial" w:hAnsi="Arial" w:cs="Arial"/>
          <w:color w:val="403838"/>
          <w:sz w:val="24"/>
          <w:szCs w:val="24"/>
          <w:lang w:val="en"/>
        </w:rPr>
        <w:t>”</w:t>
      </w:r>
      <w:r w:rsidR="00597E31">
        <w:rPr>
          <w:rFonts w:ascii="Arial" w:hAnsi="Arial" w:cs="Arial"/>
          <w:color w:val="403838"/>
          <w:sz w:val="24"/>
          <w:szCs w:val="24"/>
          <w:lang w:val="en"/>
        </w:rPr>
        <w:t xml:space="preserve"> as, “Disabling Peripheral Neuropathy Associated </w:t>
      </w:r>
      <w:r w:rsidR="00597E31">
        <w:rPr>
          <w:rFonts w:ascii="Arial" w:hAnsi="Arial" w:cs="Arial"/>
          <w:color w:val="403838"/>
          <w:sz w:val="24"/>
          <w:szCs w:val="24"/>
          <w:lang w:val="en"/>
        </w:rPr>
        <w:lastRenderedPageBreak/>
        <w:t xml:space="preserve">with Systemic Fluoroquinolone Exposure.”  </w:t>
      </w:r>
      <w:r w:rsidR="00D17365">
        <w:rPr>
          <w:rFonts w:ascii="Arial" w:hAnsi="Arial" w:cs="Arial"/>
          <w:color w:val="403838"/>
          <w:sz w:val="24"/>
          <w:szCs w:val="24"/>
          <w:lang w:val="en"/>
        </w:rPr>
        <w:t xml:space="preserve"> This document was signed by Acting FDA Division Director, Min Chu Chen, RPh, MS</w:t>
      </w:r>
      <w:r w:rsidR="00BD2AE0">
        <w:rPr>
          <w:rFonts w:ascii="Arial" w:hAnsi="Arial" w:cs="Arial"/>
          <w:color w:val="403838"/>
          <w:sz w:val="24"/>
          <w:szCs w:val="24"/>
          <w:lang w:val="en"/>
        </w:rPr>
        <w:t>,</w:t>
      </w:r>
      <w:r w:rsidR="00D17365">
        <w:rPr>
          <w:rFonts w:ascii="Arial" w:hAnsi="Arial" w:cs="Arial"/>
          <w:color w:val="403838"/>
          <w:sz w:val="24"/>
          <w:szCs w:val="24"/>
          <w:lang w:val="en"/>
        </w:rPr>
        <w:t xml:space="preserve"> and other FDA staff.</w:t>
      </w:r>
    </w:p>
    <w:p w:rsidR="00597E31" w:rsidRDefault="00597E31" w:rsidP="00E83F28">
      <w:pPr>
        <w:pStyle w:val="ListParagraph"/>
        <w:ind w:left="0"/>
        <w:rPr>
          <w:rFonts w:ascii="Arial" w:hAnsi="Arial" w:cs="Arial"/>
          <w:color w:val="403838"/>
          <w:sz w:val="24"/>
          <w:szCs w:val="24"/>
          <w:lang w:val="en"/>
        </w:rPr>
      </w:pPr>
    </w:p>
    <w:p w:rsidR="00597E31" w:rsidRDefault="00597E31" w:rsidP="00820D36">
      <w:pPr>
        <w:pStyle w:val="ListParagraph"/>
        <w:numPr>
          <w:ilvl w:val="0"/>
          <w:numId w:val="8"/>
        </w:numPr>
        <w:rPr>
          <w:rFonts w:ascii="Arial" w:hAnsi="Arial" w:cs="Arial"/>
          <w:color w:val="403838"/>
          <w:sz w:val="24"/>
          <w:szCs w:val="24"/>
          <w:lang w:val="en"/>
        </w:rPr>
      </w:pPr>
      <w:r>
        <w:rPr>
          <w:rFonts w:ascii="Arial" w:hAnsi="Arial" w:cs="Arial"/>
          <w:color w:val="403838"/>
          <w:sz w:val="24"/>
          <w:szCs w:val="24"/>
          <w:lang w:val="en"/>
        </w:rPr>
        <w:t xml:space="preserve">The Reviewers for this document were Debra </w:t>
      </w:r>
      <w:proofErr w:type="spellStart"/>
      <w:r>
        <w:rPr>
          <w:rFonts w:ascii="Arial" w:hAnsi="Arial" w:cs="Arial"/>
          <w:color w:val="403838"/>
          <w:sz w:val="24"/>
          <w:szCs w:val="24"/>
          <w:lang w:val="en"/>
        </w:rPr>
        <w:t>Boxwell</w:t>
      </w:r>
      <w:proofErr w:type="spellEnd"/>
      <w:r>
        <w:rPr>
          <w:rFonts w:ascii="Arial" w:hAnsi="Arial" w:cs="Arial"/>
          <w:color w:val="403838"/>
          <w:sz w:val="24"/>
          <w:szCs w:val="24"/>
          <w:lang w:val="en"/>
        </w:rPr>
        <w:t xml:space="preserve">, </w:t>
      </w:r>
      <w:proofErr w:type="spellStart"/>
      <w:r>
        <w:rPr>
          <w:rFonts w:ascii="Arial" w:hAnsi="Arial" w:cs="Arial"/>
          <w:color w:val="403838"/>
          <w:sz w:val="24"/>
          <w:szCs w:val="24"/>
          <w:lang w:val="en"/>
        </w:rPr>
        <w:t>PharmD</w:t>
      </w:r>
      <w:proofErr w:type="spellEnd"/>
      <w:r>
        <w:rPr>
          <w:rFonts w:ascii="Arial" w:hAnsi="Arial" w:cs="Arial"/>
          <w:color w:val="403838"/>
          <w:sz w:val="24"/>
          <w:szCs w:val="24"/>
          <w:lang w:val="en"/>
        </w:rPr>
        <w:t xml:space="preserve">, Safety Evaluator and Jane Gilbert, MD, PhD, Medical Officer; </w:t>
      </w:r>
    </w:p>
    <w:p w:rsidR="00820D36" w:rsidRDefault="00820D36" w:rsidP="00820D36">
      <w:pPr>
        <w:pStyle w:val="ListParagraph"/>
        <w:rPr>
          <w:rFonts w:ascii="Arial" w:hAnsi="Arial" w:cs="Arial"/>
          <w:color w:val="403838"/>
          <w:sz w:val="24"/>
          <w:szCs w:val="24"/>
          <w:lang w:val="en"/>
        </w:rPr>
      </w:pPr>
    </w:p>
    <w:p w:rsidR="00D17365" w:rsidRPr="00D17365" w:rsidRDefault="00597E31" w:rsidP="00D17365">
      <w:pPr>
        <w:pStyle w:val="ListParagraph"/>
        <w:numPr>
          <w:ilvl w:val="0"/>
          <w:numId w:val="8"/>
        </w:numPr>
        <w:rPr>
          <w:rFonts w:ascii="Arial" w:hAnsi="Arial" w:cs="Arial"/>
          <w:color w:val="403838"/>
          <w:sz w:val="24"/>
          <w:szCs w:val="24"/>
          <w:lang w:val="en"/>
        </w:rPr>
      </w:pPr>
      <w:r>
        <w:rPr>
          <w:rFonts w:ascii="Arial" w:hAnsi="Arial" w:cs="Arial"/>
          <w:color w:val="403838"/>
          <w:sz w:val="24"/>
          <w:szCs w:val="24"/>
          <w:lang w:val="en"/>
        </w:rPr>
        <w:t>Team Leaders were Kelly Cao, PharmD, and Allen Brinker, MD, MS;</w:t>
      </w:r>
    </w:p>
    <w:p w:rsidR="00D17365" w:rsidRPr="00D17365" w:rsidRDefault="00D17365" w:rsidP="00D17365">
      <w:pPr>
        <w:pStyle w:val="ListParagraph"/>
        <w:rPr>
          <w:rFonts w:ascii="Arial" w:hAnsi="Arial" w:cs="Arial"/>
          <w:color w:val="403838"/>
          <w:sz w:val="24"/>
          <w:szCs w:val="24"/>
          <w:lang w:val="en"/>
        </w:rPr>
      </w:pPr>
    </w:p>
    <w:p w:rsidR="00597E31" w:rsidRDefault="00597E31" w:rsidP="00820D36">
      <w:pPr>
        <w:pStyle w:val="ListParagraph"/>
        <w:numPr>
          <w:ilvl w:val="0"/>
          <w:numId w:val="8"/>
        </w:numPr>
        <w:rPr>
          <w:rFonts w:ascii="Arial" w:hAnsi="Arial" w:cs="Arial"/>
          <w:color w:val="403838"/>
          <w:sz w:val="24"/>
          <w:szCs w:val="24"/>
          <w:lang w:val="en"/>
        </w:rPr>
      </w:pPr>
      <w:r>
        <w:rPr>
          <w:rFonts w:ascii="Arial" w:hAnsi="Arial" w:cs="Arial"/>
          <w:color w:val="403838"/>
          <w:sz w:val="24"/>
          <w:szCs w:val="24"/>
          <w:lang w:val="en"/>
        </w:rPr>
        <w:t>Product Names/Sponsor</w:t>
      </w:r>
      <w:r w:rsidR="006458EF">
        <w:rPr>
          <w:rFonts w:ascii="Arial" w:hAnsi="Arial" w:cs="Arial"/>
          <w:color w:val="403838"/>
          <w:sz w:val="24"/>
          <w:szCs w:val="24"/>
          <w:lang w:val="en"/>
        </w:rPr>
        <w:t>s were</w:t>
      </w:r>
      <w:r>
        <w:rPr>
          <w:rFonts w:ascii="Arial" w:hAnsi="Arial" w:cs="Arial"/>
          <w:color w:val="403838"/>
          <w:sz w:val="24"/>
          <w:szCs w:val="24"/>
          <w:lang w:val="en"/>
        </w:rPr>
        <w:t xml:space="preserve"> </w:t>
      </w:r>
      <w:r w:rsidR="006458EF">
        <w:rPr>
          <w:rFonts w:ascii="Arial" w:hAnsi="Arial" w:cs="Arial"/>
          <w:color w:val="403838"/>
          <w:sz w:val="24"/>
          <w:szCs w:val="24"/>
          <w:lang w:val="en"/>
        </w:rPr>
        <w:t xml:space="preserve">six fluoroquinolones, including </w:t>
      </w:r>
      <w:r>
        <w:rPr>
          <w:rFonts w:ascii="Arial" w:hAnsi="Arial" w:cs="Arial"/>
          <w:color w:val="403838"/>
          <w:sz w:val="24"/>
          <w:szCs w:val="24"/>
          <w:lang w:val="en"/>
        </w:rPr>
        <w:t>Levaquin (levofloxacin)—Janssen Pharmaceuticals</w:t>
      </w:r>
      <w:r w:rsidR="006458EF">
        <w:rPr>
          <w:rFonts w:ascii="Arial" w:hAnsi="Arial" w:cs="Arial"/>
          <w:color w:val="403838"/>
          <w:sz w:val="24"/>
          <w:szCs w:val="24"/>
          <w:lang w:val="en"/>
        </w:rPr>
        <w:t>.</w:t>
      </w:r>
      <w:r w:rsidR="005A79BF">
        <w:rPr>
          <w:rFonts w:ascii="Arial" w:hAnsi="Arial" w:cs="Arial"/>
          <w:color w:val="403838"/>
          <w:sz w:val="24"/>
          <w:szCs w:val="24"/>
          <w:lang w:val="en"/>
        </w:rPr>
        <w:t xml:space="preserve"> (</w:t>
      </w:r>
      <w:r w:rsidR="003B294A">
        <w:rPr>
          <w:rFonts w:ascii="Arial" w:hAnsi="Arial" w:cs="Arial"/>
          <w:color w:val="403838"/>
          <w:sz w:val="24"/>
          <w:szCs w:val="24"/>
          <w:lang w:val="en"/>
        </w:rPr>
        <w:t xml:space="preserve">FDA, 2013, </w:t>
      </w:r>
      <w:r w:rsidR="005A79BF">
        <w:rPr>
          <w:rFonts w:ascii="Arial" w:hAnsi="Arial" w:cs="Arial"/>
          <w:color w:val="403838"/>
          <w:sz w:val="24"/>
          <w:szCs w:val="24"/>
          <w:lang w:val="en"/>
        </w:rPr>
        <w:t>page 1)</w:t>
      </w:r>
    </w:p>
    <w:p w:rsidR="00E36DB4" w:rsidRPr="001C6CF5" w:rsidRDefault="00E36DB4" w:rsidP="001C6CF5">
      <w:pPr>
        <w:ind w:left="360"/>
        <w:rPr>
          <w:rFonts w:ascii="Arial" w:hAnsi="Arial" w:cs="Arial"/>
          <w:color w:val="403838"/>
          <w:sz w:val="24"/>
          <w:szCs w:val="24"/>
          <w:lang w:val="en"/>
        </w:rPr>
      </w:pPr>
    </w:p>
    <w:p w:rsidR="00E36DB4" w:rsidRDefault="001C6CF5" w:rsidP="00E36DB4">
      <w:pPr>
        <w:rPr>
          <w:rFonts w:ascii="Arial" w:hAnsi="Arial" w:cs="Arial"/>
          <w:color w:val="403838"/>
          <w:sz w:val="24"/>
          <w:szCs w:val="24"/>
          <w:lang w:val="en"/>
        </w:rPr>
      </w:pPr>
      <w:r>
        <w:rPr>
          <w:rFonts w:ascii="Arial" w:hAnsi="Arial" w:cs="Arial"/>
          <w:color w:val="403838"/>
          <w:sz w:val="24"/>
          <w:szCs w:val="24"/>
          <w:u w:val="single"/>
          <w:lang w:val="en"/>
        </w:rPr>
        <w:t>Section 2.3.2, T</w:t>
      </w:r>
      <w:r w:rsidR="00842AEB" w:rsidRPr="0009037C">
        <w:rPr>
          <w:rFonts w:ascii="Arial" w:hAnsi="Arial" w:cs="Arial"/>
          <w:color w:val="403838"/>
          <w:sz w:val="24"/>
          <w:szCs w:val="24"/>
          <w:u w:val="single"/>
          <w:lang w:val="en"/>
        </w:rPr>
        <w:t xml:space="preserve">able 5 </w:t>
      </w:r>
      <w:r w:rsidR="0009037C">
        <w:rPr>
          <w:rFonts w:ascii="Arial" w:hAnsi="Arial" w:cs="Arial"/>
          <w:color w:val="403838"/>
          <w:sz w:val="24"/>
          <w:szCs w:val="24"/>
          <w:u w:val="single"/>
          <w:lang w:val="en"/>
        </w:rPr>
        <w:t>of</w:t>
      </w:r>
      <w:r w:rsidR="00842AEB" w:rsidRPr="0009037C">
        <w:rPr>
          <w:rFonts w:ascii="Arial" w:hAnsi="Arial" w:cs="Arial"/>
          <w:color w:val="403838"/>
          <w:sz w:val="24"/>
          <w:szCs w:val="24"/>
          <w:u w:val="single"/>
          <w:lang w:val="en"/>
        </w:rPr>
        <w:t xml:space="preserve"> this</w:t>
      </w:r>
      <w:r w:rsidR="0009037C">
        <w:rPr>
          <w:rFonts w:ascii="Arial" w:hAnsi="Arial" w:cs="Arial"/>
          <w:color w:val="403838"/>
          <w:sz w:val="24"/>
          <w:szCs w:val="24"/>
          <w:u w:val="single"/>
          <w:lang w:val="en"/>
        </w:rPr>
        <w:t xml:space="preserve"> FDA</w:t>
      </w:r>
      <w:r w:rsidR="00842AEB" w:rsidRPr="0009037C">
        <w:rPr>
          <w:rFonts w:ascii="Arial" w:hAnsi="Arial" w:cs="Arial"/>
          <w:color w:val="403838"/>
          <w:sz w:val="24"/>
          <w:szCs w:val="24"/>
          <w:u w:val="single"/>
          <w:lang w:val="en"/>
        </w:rPr>
        <w:t xml:space="preserve"> document</w:t>
      </w:r>
      <w:r w:rsidR="00842AEB">
        <w:rPr>
          <w:rFonts w:ascii="Arial" w:hAnsi="Arial" w:cs="Arial"/>
          <w:color w:val="403838"/>
          <w:sz w:val="24"/>
          <w:szCs w:val="24"/>
          <w:lang w:val="en"/>
        </w:rPr>
        <w:t xml:space="preserve"> is titled, “Literature Search Strategy for Mechanism of Action.”  “Search Terms” include “mitochondria,” “</w:t>
      </w:r>
      <w:proofErr w:type="spellStart"/>
      <w:r w:rsidR="00842AEB">
        <w:rPr>
          <w:rFonts w:ascii="Arial" w:hAnsi="Arial" w:cs="Arial"/>
          <w:color w:val="403838"/>
          <w:sz w:val="24"/>
          <w:szCs w:val="24"/>
          <w:lang w:val="en"/>
        </w:rPr>
        <w:t>mtDNA</w:t>
      </w:r>
      <w:proofErr w:type="spellEnd"/>
      <w:r w:rsidR="00842AEB">
        <w:rPr>
          <w:rFonts w:ascii="Arial" w:hAnsi="Arial" w:cs="Arial"/>
          <w:color w:val="403838"/>
          <w:sz w:val="24"/>
          <w:szCs w:val="24"/>
          <w:lang w:val="en"/>
        </w:rPr>
        <w:t>,” “oxidative stress,” and “apoptosis.”  Literature was searched from January 1980 to December 2012.</w:t>
      </w:r>
      <w:r w:rsidR="00664C51">
        <w:rPr>
          <w:rFonts w:ascii="Arial" w:hAnsi="Arial" w:cs="Arial"/>
          <w:color w:val="403838"/>
          <w:sz w:val="24"/>
          <w:szCs w:val="24"/>
          <w:lang w:val="en"/>
        </w:rPr>
        <w:t xml:space="preserve"> (</w:t>
      </w:r>
      <w:r w:rsidR="003B294A">
        <w:rPr>
          <w:rFonts w:ascii="Arial" w:hAnsi="Arial" w:cs="Arial"/>
          <w:color w:val="403838"/>
          <w:sz w:val="24"/>
          <w:szCs w:val="24"/>
          <w:lang w:val="en"/>
        </w:rPr>
        <w:t>FDA,</w:t>
      </w:r>
      <w:r w:rsidR="009068DA">
        <w:rPr>
          <w:rFonts w:ascii="Arial" w:hAnsi="Arial" w:cs="Arial"/>
          <w:color w:val="403838"/>
          <w:sz w:val="24"/>
          <w:szCs w:val="24"/>
          <w:lang w:val="en"/>
        </w:rPr>
        <w:t xml:space="preserve"> 2013,</w:t>
      </w:r>
      <w:r w:rsidR="003B294A">
        <w:rPr>
          <w:rFonts w:ascii="Arial" w:hAnsi="Arial" w:cs="Arial"/>
          <w:color w:val="403838"/>
          <w:sz w:val="24"/>
          <w:szCs w:val="24"/>
          <w:lang w:val="en"/>
        </w:rPr>
        <w:t xml:space="preserve"> </w:t>
      </w:r>
      <w:r w:rsidR="00664C51">
        <w:rPr>
          <w:rFonts w:ascii="Arial" w:hAnsi="Arial" w:cs="Arial"/>
          <w:color w:val="403838"/>
          <w:sz w:val="24"/>
          <w:szCs w:val="24"/>
          <w:lang w:val="en"/>
        </w:rPr>
        <w:t>page 6)</w:t>
      </w:r>
    </w:p>
    <w:p w:rsidR="005A79BF" w:rsidRDefault="005A79BF" w:rsidP="00E36DB4">
      <w:pPr>
        <w:rPr>
          <w:rFonts w:ascii="Arial" w:hAnsi="Arial" w:cs="Arial"/>
          <w:color w:val="403838"/>
          <w:sz w:val="24"/>
          <w:szCs w:val="24"/>
          <w:lang w:val="en"/>
        </w:rPr>
      </w:pPr>
    </w:p>
    <w:p w:rsidR="00C807D3" w:rsidRDefault="005A79BF" w:rsidP="00E36DB4">
      <w:pPr>
        <w:rPr>
          <w:rFonts w:ascii="Arial" w:hAnsi="Arial" w:cs="Arial"/>
          <w:color w:val="403838"/>
          <w:sz w:val="24"/>
          <w:szCs w:val="24"/>
          <w:lang w:val="en"/>
        </w:rPr>
      </w:pPr>
      <w:r w:rsidRPr="0009037C">
        <w:rPr>
          <w:rFonts w:ascii="Arial" w:hAnsi="Arial" w:cs="Arial"/>
          <w:color w:val="403838"/>
          <w:sz w:val="24"/>
          <w:szCs w:val="24"/>
          <w:u w:val="single"/>
          <w:lang w:val="en"/>
        </w:rPr>
        <w:t>Section 3.3.2 of this</w:t>
      </w:r>
      <w:r w:rsidR="0009037C" w:rsidRPr="0009037C">
        <w:rPr>
          <w:rFonts w:ascii="Arial" w:hAnsi="Arial" w:cs="Arial"/>
          <w:color w:val="403838"/>
          <w:sz w:val="24"/>
          <w:szCs w:val="24"/>
          <w:u w:val="single"/>
          <w:lang w:val="en"/>
        </w:rPr>
        <w:t xml:space="preserve"> FDA</w:t>
      </w:r>
      <w:r w:rsidRPr="0009037C">
        <w:rPr>
          <w:rFonts w:ascii="Arial" w:hAnsi="Arial" w:cs="Arial"/>
          <w:color w:val="403838"/>
          <w:sz w:val="24"/>
          <w:szCs w:val="24"/>
          <w:u w:val="single"/>
          <w:lang w:val="en"/>
        </w:rPr>
        <w:t xml:space="preserve"> document</w:t>
      </w:r>
      <w:r>
        <w:rPr>
          <w:rFonts w:ascii="Arial" w:hAnsi="Arial" w:cs="Arial"/>
          <w:color w:val="403838"/>
          <w:sz w:val="24"/>
          <w:szCs w:val="24"/>
          <w:lang w:val="en"/>
        </w:rPr>
        <w:t xml:space="preserve"> </w:t>
      </w:r>
      <w:r w:rsidR="0009037C">
        <w:rPr>
          <w:rFonts w:ascii="Arial" w:hAnsi="Arial" w:cs="Arial"/>
          <w:color w:val="403838"/>
          <w:sz w:val="24"/>
          <w:szCs w:val="24"/>
          <w:lang w:val="en"/>
        </w:rPr>
        <w:t xml:space="preserve">is </w:t>
      </w:r>
      <w:r>
        <w:rPr>
          <w:rFonts w:ascii="Arial" w:hAnsi="Arial" w:cs="Arial"/>
          <w:color w:val="403838"/>
          <w:sz w:val="24"/>
          <w:szCs w:val="24"/>
          <w:lang w:val="en"/>
        </w:rPr>
        <w:t>titled, “Possible Mechanism of Action:  Mitochondrial Toxicity,”</w:t>
      </w:r>
      <w:r w:rsidR="00C807D3">
        <w:rPr>
          <w:rFonts w:ascii="Arial" w:hAnsi="Arial" w:cs="Arial"/>
          <w:color w:val="403838"/>
          <w:sz w:val="24"/>
          <w:szCs w:val="24"/>
          <w:lang w:val="en"/>
        </w:rPr>
        <w:t xml:space="preserve"> </w:t>
      </w:r>
      <w:r w:rsidR="0009037C">
        <w:rPr>
          <w:rFonts w:ascii="Arial" w:hAnsi="Arial" w:cs="Arial"/>
          <w:color w:val="403838"/>
          <w:sz w:val="24"/>
          <w:szCs w:val="24"/>
          <w:lang w:val="en"/>
        </w:rPr>
        <w:t xml:space="preserve">and </w:t>
      </w:r>
      <w:r w:rsidR="00C807D3">
        <w:rPr>
          <w:rFonts w:ascii="Arial" w:hAnsi="Arial" w:cs="Arial"/>
          <w:color w:val="403838"/>
          <w:sz w:val="24"/>
          <w:szCs w:val="24"/>
          <w:lang w:val="en"/>
        </w:rPr>
        <w:t>explains:</w:t>
      </w:r>
      <w:r>
        <w:rPr>
          <w:rFonts w:ascii="Arial" w:hAnsi="Arial" w:cs="Arial"/>
          <w:color w:val="403838"/>
          <w:sz w:val="24"/>
          <w:szCs w:val="24"/>
          <w:lang w:val="en"/>
        </w:rPr>
        <w:t xml:space="preserve"> </w:t>
      </w:r>
    </w:p>
    <w:p w:rsidR="00597E31" w:rsidRPr="00597E31" w:rsidRDefault="005A79BF" w:rsidP="00AB1803">
      <w:pPr>
        <w:ind w:left="720"/>
        <w:rPr>
          <w:rFonts w:ascii="Arial" w:hAnsi="Arial" w:cs="Arial"/>
          <w:color w:val="403838"/>
          <w:sz w:val="24"/>
          <w:szCs w:val="24"/>
          <w:lang w:val="en"/>
        </w:rPr>
      </w:pPr>
      <w:r>
        <w:rPr>
          <w:rFonts w:ascii="Arial" w:hAnsi="Arial" w:cs="Arial"/>
          <w:color w:val="403838"/>
          <w:sz w:val="24"/>
          <w:szCs w:val="24"/>
          <w:lang w:val="en"/>
        </w:rPr>
        <w:t>“</w:t>
      </w:r>
      <w:r w:rsidR="00C807D3">
        <w:rPr>
          <w:rFonts w:ascii="Arial" w:hAnsi="Arial" w:cs="Arial"/>
          <w:color w:val="403838"/>
          <w:sz w:val="24"/>
          <w:szCs w:val="24"/>
          <w:lang w:val="en"/>
        </w:rPr>
        <w:t>F</w:t>
      </w:r>
      <w:r>
        <w:rPr>
          <w:rFonts w:ascii="Arial" w:hAnsi="Arial" w:cs="Arial"/>
          <w:color w:val="403838"/>
          <w:sz w:val="24"/>
          <w:szCs w:val="24"/>
          <w:lang w:val="en"/>
        </w:rPr>
        <w:t xml:space="preserve">luoroquinolones have been found to affect mammalian topoisomerase II, especially in mitochondria.  In vitro studies in drug-treated mammalian cells found that </w:t>
      </w:r>
      <w:proofErr w:type="spellStart"/>
      <w:r>
        <w:rPr>
          <w:rFonts w:ascii="Arial" w:hAnsi="Arial" w:cs="Arial"/>
          <w:color w:val="403838"/>
          <w:sz w:val="24"/>
          <w:szCs w:val="24"/>
          <w:lang w:val="en"/>
        </w:rPr>
        <w:t>nalidixic</w:t>
      </w:r>
      <w:proofErr w:type="spellEnd"/>
      <w:r>
        <w:rPr>
          <w:rFonts w:ascii="Arial" w:hAnsi="Arial" w:cs="Arial"/>
          <w:color w:val="403838"/>
          <w:sz w:val="24"/>
          <w:szCs w:val="24"/>
          <w:lang w:val="en"/>
        </w:rPr>
        <w:t xml:space="preserve"> acid and ciprofloxacin caused a loss of mitochondrial DNA (</w:t>
      </w:r>
      <w:proofErr w:type="spellStart"/>
      <w:r>
        <w:rPr>
          <w:rFonts w:ascii="Arial" w:hAnsi="Arial" w:cs="Arial"/>
          <w:color w:val="403838"/>
          <w:sz w:val="24"/>
          <w:szCs w:val="24"/>
          <w:lang w:val="en"/>
        </w:rPr>
        <w:t>mtDNA</w:t>
      </w:r>
      <w:proofErr w:type="spellEnd"/>
      <w:r>
        <w:rPr>
          <w:rFonts w:ascii="Arial" w:hAnsi="Arial" w:cs="Arial"/>
          <w:color w:val="403838"/>
          <w:sz w:val="24"/>
          <w:szCs w:val="24"/>
          <w:lang w:val="en"/>
        </w:rPr>
        <w:t>), resulting in a decrease of mitochondrial respiration and an arrest in cell growth.” (</w:t>
      </w:r>
      <w:r w:rsidR="003B294A">
        <w:rPr>
          <w:rFonts w:ascii="Arial" w:hAnsi="Arial" w:cs="Arial"/>
          <w:color w:val="403838"/>
          <w:sz w:val="24"/>
          <w:szCs w:val="24"/>
          <w:lang w:val="en"/>
        </w:rPr>
        <w:t xml:space="preserve">FDA, </w:t>
      </w:r>
      <w:r w:rsidR="009068DA">
        <w:rPr>
          <w:rFonts w:ascii="Arial" w:hAnsi="Arial" w:cs="Arial"/>
          <w:color w:val="403838"/>
          <w:sz w:val="24"/>
          <w:szCs w:val="24"/>
          <w:lang w:val="en"/>
        </w:rPr>
        <w:t xml:space="preserve">2013, </w:t>
      </w:r>
      <w:r>
        <w:rPr>
          <w:rFonts w:ascii="Arial" w:hAnsi="Arial" w:cs="Arial"/>
          <w:color w:val="403838"/>
          <w:sz w:val="24"/>
          <w:szCs w:val="24"/>
          <w:lang w:val="en"/>
        </w:rPr>
        <w:t>pages 11-12)</w:t>
      </w:r>
    </w:p>
    <w:p w:rsidR="005A79BF" w:rsidRPr="005A79BF" w:rsidRDefault="00796AA5" w:rsidP="00C807D3">
      <w:pPr>
        <w:pStyle w:val="Default"/>
        <w:ind w:left="720"/>
        <w:rPr>
          <w:rFonts w:ascii="Arial" w:hAnsi="Arial" w:cs="Arial"/>
          <w:color w:val="auto"/>
        </w:rPr>
      </w:pPr>
      <w:r>
        <w:rPr>
          <w:rFonts w:ascii="Arial" w:hAnsi="Arial" w:cs="Arial"/>
          <w:color w:val="auto"/>
        </w:rPr>
        <w:t>“</w:t>
      </w:r>
      <w:r w:rsidR="005A79BF" w:rsidRPr="005A79BF">
        <w:rPr>
          <w:rFonts w:ascii="Arial" w:hAnsi="Arial" w:cs="Arial"/>
          <w:color w:val="auto"/>
        </w:rPr>
        <w:t>Mitochondrial conditions that are due to an insufficiency of ATP</w:t>
      </w:r>
      <w:r w:rsidR="005A79BF">
        <w:rPr>
          <w:rFonts w:ascii="Arial" w:hAnsi="Arial" w:cs="Arial"/>
          <w:color w:val="auto"/>
        </w:rPr>
        <w:t>, especially in organs that rely on mitochondria for their energy source, include</w:t>
      </w:r>
      <w:r w:rsidR="005A79BF" w:rsidRPr="005A79BF">
        <w:rPr>
          <w:rFonts w:ascii="Arial" w:hAnsi="Arial" w:cs="Arial"/>
          <w:color w:val="auto"/>
        </w:rPr>
        <w:t xml:space="preserve"> developmental disorders of the brain, optic neuropathy, neuropathic pain, hearing loss, muscle weakness, cardiomyopathy, and lactic acidosis.  Neurodegenerative diseases, like Parkinson’s, Alzheimer’s and amyotrophic lateral sclerosis (ALS) have been associated with the loss of neurons due to oxidative stress</w:t>
      </w:r>
      <w:r w:rsidR="005A79BF">
        <w:rPr>
          <w:rFonts w:ascii="Arial" w:hAnsi="Arial" w:cs="Arial"/>
          <w:color w:val="auto"/>
        </w:rPr>
        <w:t>.” (</w:t>
      </w:r>
      <w:r w:rsidR="003B294A">
        <w:rPr>
          <w:rFonts w:ascii="Arial" w:hAnsi="Arial" w:cs="Arial"/>
          <w:color w:val="403838"/>
          <w:lang w:val="en"/>
        </w:rPr>
        <w:t xml:space="preserve">FDA, 2013, </w:t>
      </w:r>
      <w:r w:rsidR="005A79BF">
        <w:rPr>
          <w:rFonts w:ascii="Arial" w:hAnsi="Arial" w:cs="Arial"/>
          <w:color w:val="auto"/>
        </w:rPr>
        <w:t>page 12)</w:t>
      </w:r>
    </w:p>
    <w:p w:rsidR="00597E31" w:rsidRDefault="00597E31" w:rsidP="00E83F28">
      <w:pPr>
        <w:pStyle w:val="ListParagraph"/>
        <w:ind w:left="0"/>
        <w:rPr>
          <w:rFonts w:ascii="Arial" w:hAnsi="Arial" w:cs="Arial"/>
          <w:color w:val="403838"/>
          <w:sz w:val="24"/>
          <w:szCs w:val="24"/>
          <w:lang w:val="en"/>
        </w:rPr>
      </w:pPr>
    </w:p>
    <w:p w:rsidR="00796AA5" w:rsidRDefault="00796AA5" w:rsidP="00796AA5">
      <w:pPr>
        <w:rPr>
          <w:rFonts w:ascii="Arial" w:hAnsi="Arial" w:cs="Arial"/>
          <w:color w:val="403838"/>
          <w:sz w:val="24"/>
          <w:szCs w:val="24"/>
          <w:lang w:val="en"/>
        </w:rPr>
      </w:pPr>
      <w:r w:rsidRPr="0009037C">
        <w:rPr>
          <w:rFonts w:ascii="Arial" w:hAnsi="Arial" w:cs="Arial"/>
          <w:color w:val="403838"/>
          <w:sz w:val="24"/>
          <w:szCs w:val="24"/>
          <w:u w:val="single"/>
          <w:lang w:val="en"/>
        </w:rPr>
        <w:t xml:space="preserve">Section 8.6 of this </w:t>
      </w:r>
      <w:r w:rsidR="0009037C" w:rsidRPr="0009037C">
        <w:rPr>
          <w:rFonts w:ascii="Arial" w:hAnsi="Arial" w:cs="Arial"/>
          <w:color w:val="403838"/>
          <w:sz w:val="24"/>
          <w:szCs w:val="24"/>
          <w:u w:val="single"/>
          <w:lang w:val="en"/>
        </w:rPr>
        <w:t xml:space="preserve">FDA </w:t>
      </w:r>
      <w:r w:rsidRPr="0009037C">
        <w:rPr>
          <w:rFonts w:ascii="Arial" w:hAnsi="Arial" w:cs="Arial"/>
          <w:color w:val="403838"/>
          <w:sz w:val="24"/>
          <w:szCs w:val="24"/>
          <w:u w:val="single"/>
          <w:lang w:val="en"/>
        </w:rPr>
        <w:t>document</w:t>
      </w:r>
      <w:r>
        <w:rPr>
          <w:rFonts w:ascii="Arial" w:hAnsi="Arial" w:cs="Arial"/>
          <w:color w:val="403838"/>
          <w:sz w:val="24"/>
          <w:szCs w:val="24"/>
          <w:lang w:val="en"/>
        </w:rPr>
        <w:t xml:space="preserve"> </w:t>
      </w:r>
      <w:r w:rsidR="0009037C">
        <w:rPr>
          <w:rFonts w:ascii="Arial" w:hAnsi="Arial" w:cs="Arial"/>
          <w:color w:val="403838"/>
          <w:sz w:val="24"/>
          <w:szCs w:val="24"/>
          <w:lang w:val="en"/>
        </w:rPr>
        <w:t xml:space="preserve">is </w:t>
      </w:r>
      <w:r>
        <w:rPr>
          <w:rFonts w:ascii="Arial" w:hAnsi="Arial" w:cs="Arial"/>
          <w:color w:val="403838"/>
          <w:sz w:val="24"/>
          <w:szCs w:val="24"/>
          <w:lang w:val="en"/>
        </w:rPr>
        <w:t xml:space="preserve">titled, “Possible Mechanism of Action:  Mitochondrial Toxicity,” </w:t>
      </w:r>
      <w:r w:rsidR="0009037C">
        <w:rPr>
          <w:rFonts w:ascii="Arial" w:hAnsi="Arial" w:cs="Arial"/>
          <w:color w:val="403838"/>
          <w:sz w:val="24"/>
          <w:szCs w:val="24"/>
          <w:lang w:val="en"/>
        </w:rPr>
        <w:t xml:space="preserve">and </w:t>
      </w:r>
      <w:r>
        <w:rPr>
          <w:rFonts w:ascii="Arial" w:hAnsi="Arial" w:cs="Arial"/>
          <w:color w:val="403838"/>
          <w:sz w:val="24"/>
          <w:szCs w:val="24"/>
          <w:lang w:val="en"/>
        </w:rPr>
        <w:t xml:space="preserve">explains: </w:t>
      </w:r>
    </w:p>
    <w:p w:rsidR="00092D1E" w:rsidRDefault="00092D1E" w:rsidP="00092D1E">
      <w:pPr>
        <w:ind w:left="720"/>
        <w:rPr>
          <w:rFonts w:ascii="Arial" w:hAnsi="Arial" w:cs="Arial"/>
          <w:color w:val="403838"/>
          <w:sz w:val="24"/>
          <w:szCs w:val="24"/>
          <w:lang w:val="en"/>
        </w:rPr>
      </w:pPr>
      <w:r>
        <w:rPr>
          <w:rFonts w:ascii="Arial" w:hAnsi="Arial" w:cs="Arial"/>
          <w:color w:val="403838"/>
          <w:sz w:val="24"/>
          <w:szCs w:val="24"/>
          <w:lang w:val="en"/>
        </w:rPr>
        <w:t xml:space="preserve">“In vitro studies in drug-treated mammalian cells found that </w:t>
      </w:r>
      <w:proofErr w:type="spellStart"/>
      <w:r>
        <w:rPr>
          <w:rFonts w:ascii="Arial" w:hAnsi="Arial" w:cs="Arial"/>
          <w:color w:val="403838"/>
          <w:sz w:val="24"/>
          <w:szCs w:val="24"/>
          <w:lang w:val="en"/>
        </w:rPr>
        <w:t>nalidixic</w:t>
      </w:r>
      <w:proofErr w:type="spellEnd"/>
      <w:r>
        <w:rPr>
          <w:rFonts w:ascii="Arial" w:hAnsi="Arial" w:cs="Arial"/>
          <w:color w:val="403838"/>
          <w:sz w:val="24"/>
          <w:szCs w:val="24"/>
          <w:lang w:val="en"/>
        </w:rPr>
        <w:t xml:space="preserve"> acid and ciprofloxacin caused a loss of mitochondrial DNA (</w:t>
      </w:r>
      <w:proofErr w:type="spellStart"/>
      <w:r>
        <w:rPr>
          <w:rFonts w:ascii="Arial" w:hAnsi="Arial" w:cs="Arial"/>
          <w:color w:val="403838"/>
          <w:sz w:val="24"/>
          <w:szCs w:val="24"/>
          <w:lang w:val="en"/>
        </w:rPr>
        <w:t>mtDNA</w:t>
      </w:r>
      <w:proofErr w:type="spellEnd"/>
      <w:r>
        <w:rPr>
          <w:rFonts w:ascii="Arial" w:hAnsi="Arial" w:cs="Arial"/>
          <w:color w:val="403838"/>
          <w:sz w:val="24"/>
          <w:szCs w:val="24"/>
          <w:lang w:val="en"/>
        </w:rPr>
        <w:t xml:space="preserve">), resulting in a decrease of mitochondrial respiration and an arrest in cell growth.  Further analysis found protein-linked double-stranded DNA breaks in the </w:t>
      </w:r>
      <w:proofErr w:type="spellStart"/>
      <w:r>
        <w:rPr>
          <w:rFonts w:ascii="Arial" w:hAnsi="Arial" w:cs="Arial"/>
          <w:color w:val="403838"/>
          <w:sz w:val="24"/>
          <w:szCs w:val="24"/>
          <w:lang w:val="en"/>
        </w:rPr>
        <w:t>mtDNA</w:t>
      </w:r>
      <w:proofErr w:type="spellEnd"/>
      <w:r>
        <w:rPr>
          <w:rFonts w:ascii="Arial" w:hAnsi="Arial" w:cs="Arial"/>
          <w:color w:val="403838"/>
          <w:sz w:val="24"/>
          <w:szCs w:val="24"/>
          <w:lang w:val="en"/>
        </w:rPr>
        <w:t xml:space="preserve"> from ciprofloxacin-treated cell, suggesting that ciprofloxacin was targeting topoisomerase II activity in the mitochondria.” (</w:t>
      </w:r>
      <w:r w:rsidR="003B294A">
        <w:rPr>
          <w:rFonts w:ascii="Arial" w:hAnsi="Arial" w:cs="Arial"/>
          <w:color w:val="403838"/>
          <w:sz w:val="24"/>
          <w:szCs w:val="24"/>
          <w:lang w:val="en"/>
        </w:rPr>
        <w:t xml:space="preserve">FDA, 2013, </w:t>
      </w:r>
      <w:r>
        <w:rPr>
          <w:rFonts w:ascii="Arial" w:hAnsi="Arial" w:cs="Arial"/>
          <w:color w:val="403838"/>
          <w:sz w:val="24"/>
          <w:szCs w:val="24"/>
          <w:lang w:val="en"/>
        </w:rPr>
        <w:t>page 24)</w:t>
      </w:r>
    </w:p>
    <w:p w:rsidR="00092D1E" w:rsidRDefault="00092D1E" w:rsidP="00092D1E">
      <w:pPr>
        <w:ind w:left="720"/>
        <w:rPr>
          <w:rFonts w:ascii="Arial" w:hAnsi="Arial" w:cs="Arial"/>
          <w:color w:val="403838"/>
          <w:sz w:val="24"/>
          <w:szCs w:val="24"/>
          <w:lang w:val="en"/>
        </w:rPr>
      </w:pPr>
    </w:p>
    <w:p w:rsidR="00092D1E" w:rsidRDefault="00092D1E" w:rsidP="00092D1E">
      <w:pPr>
        <w:ind w:left="720"/>
        <w:rPr>
          <w:rFonts w:ascii="Arial" w:hAnsi="Arial" w:cs="Arial"/>
          <w:color w:val="403838"/>
          <w:sz w:val="24"/>
          <w:szCs w:val="24"/>
          <w:lang w:val="en"/>
        </w:rPr>
      </w:pPr>
      <w:r>
        <w:rPr>
          <w:rFonts w:ascii="Arial" w:hAnsi="Arial" w:cs="Arial"/>
          <w:color w:val="403838"/>
          <w:sz w:val="24"/>
          <w:szCs w:val="24"/>
          <w:lang w:val="en"/>
        </w:rPr>
        <w:lastRenderedPageBreak/>
        <w:t xml:space="preserve">“An oxidative phosphorylation (OXPHOS) system is found on the inner membrane of the mitochondrion and it proves approximately 95% of the energy (ATP) requirements of the cell.  The mitochondrial respirator chain is a major producer of oxidative stress, which occurs when there is a greater production of reactive oxygen species (ROS) than </w:t>
      </w:r>
      <w:proofErr w:type="spellStart"/>
      <w:r>
        <w:rPr>
          <w:rFonts w:ascii="Arial" w:hAnsi="Arial" w:cs="Arial"/>
          <w:color w:val="403838"/>
          <w:sz w:val="24"/>
          <w:szCs w:val="24"/>
          <w:lang w:val="en"/>
        </w:rPr>
        <w:t>antioxidative</w:t>
      </w:r>
      <w:proofErr w:type="spellEnd"/>
      <w:r>
        <w:rPr>
          <w:rFonts w:ascii="Arial" w:hAnsi="Arial" w:cs="Arial"/>
          <w:color w:val="403838"/>
          <w:sz w:val="24"/>
          <w:szCs w:val="24"/>
          <w:lang w:val="en"/>
        </w:rPr>
        <w:t xml:space="preserve"> processes.  Approximately 1-4% of oxygen reacting with the respiratory chain is incompletely reduced to the superoxide radical ion, hydrogen peroxide, lipid peroxides, and other free radicals.  Under normal circumstances, there is a mechanism to remove or prevent the generation of ROS to avoid cellular damage such as lipid peroxidation, </w:t>
      </w:r>
      <w:proofErr w:type="spellStart"/>
      <w:r>
        <w:rPr>
          <w:rFonts w:ascii="Arial" w:hAnsi="Arial" w:cs="Arial"/>
          <w:color w:val="403838"/>
          <w:sz w:val="24"/>
          <w:szCs w:val="24"/>
          <w:lang w:val="en"/>
        </w:rPr>
        <w:t>mtDNA</w:t>
      </w:r>
      <w:proofErr w:type="spellEnd"/>
      <w:r>
        <w:rPr>
          <w:rFonts w:ascii="Arial" w:hAnsi="Arial" w:cs="Arial"/>
          <w:color w:val="403838"/>
          <w:sz w:val="24"/>
          <w:szCs w:val="24"/>
          <w:lang w:val="en"/>
        </w:rPr>
        <w:t xml:space="preserve"> mutations, and DNA strand breaks; if this does not happen, it can lead to even more oxidative damage.” (</w:t>
      </w:r>
      <w:r w:rsidR="003B294A">
        <w:rPr>
          <w:rFonts w:ascii="Arial" w:hAnsi="Arial" w:cs="Arial"/>
          <w:color w:val="403838"/>
          <w:sz w:val="24"/>
          <w:szCs w:val="24"/>
          <w:lang w:val="en"/>
        </w:rPr>
        <w:t xml:space="preserve">FDA, 2013, </w:t>
      </w:r>
      <w:r>
        <w:rPr>
          <w:rFonts w:ascii="Arial" w:hAnsi="Arial" w:cs="Arial"/>
          <w:color w:val="403838"/>
          <w:sz w:val="24"/>
          <w:szCs w:val="24"/>
          <w:lang w:val="en"/>
        </w:rPr>
        <w:t>page 24)</w:t>
      </w:r>
    </w:p>
    <w:p w:rsidR="00092D1E" w:rsidRDefault="00092D1E" w:rsidP="005031AC">
      <w:pPr>
        <w:pStyle w:val="Default"/>
        <w:ind w:left="720"/>
        <w:rPr>
          <w:rFonts w:ascii="Arial" w:hAnsi="Arial" w:cs="Arial"/>
          <w:color w:val="auto"/>
        </w:rPr>
      </w:pPr>
      <w:r>
        <w:rPr>
          <w:rFonts w:ascii="Arial" w:hAnsi="Arial" w:cs="Arial"/>
          <w:color w:val="auto"/>
        </w:rPr>
        <w:t>“</w:t>
      </w:r>
      <w:r w:rsidRPr="005A79BF">
        <w:rPr>
          <w:rFonts w:ascii="Arial" w:hAnsi="Arial" w:cs="Arial"/>
          <w:color w:val="auto"/>
        </w:rPr>
        <w:t>Mitochondrial conditions that are due to an insufficiency of ATP</w:t>
      </w:r>
      <w:r>
        <w:rPr>
          <w:rFonts w:ascii="Arial" w:hAnsi="Arial" w:cs="Arial"/>
          <w:color w:val="auto"/>
        </w:rPr>
        <w:t>, especially in organs that rely on mitochondria for their energy source, include</w:t>
      </w:r>
      <w:r w:rsidRPr="005A79BF">
        <w:rPr>
          <w:rFonts w:ascii="Arial" w:hAnsi="Arial" w:cs="Arial"/>
          <w:color w:val="auto"/>
        </w:rPr>
        <w:t xml:space="preserve"> developmental disorders of the brain, optic neuropathy, neuropathic pain, hearing loss, muscle weakness, cardiomyopathy, and lactic acidosis.  Neurodegenerative diseases, like Parkinson’s, Alzheimer’s and amyotrophic lateral sclerosis (ALS) have been associated with the loss of neurons due to oxidative stress</w:t>
      </w:r>
      <w:r>
        <w:rPr>
          <w:rFonts w:ascii="Arial" w:hAnsi="Arial" w:cs="Arial"/>
          <w:color w:val="auto"/>
        </w:rPr>
        <w:t xml:space="preserve"> generated by ROS</w:t>
      </w:r>
      <w:r w:rsidR="005031AC">
        <w:rPr>
          <w:rFonts w:ascii="Arial" w:hAnsi="Arial" w:cs="Arial"/>
          <w:color w:val="auto"/>
        </w:rPr>
        <w:t>…. The phototoxic effects of fluoroquinolones were found to be due to the mitochondrial formation of a singlet oxygen (O2) and superoxide anion (O2).</w:t>
      </w:r>
      <w:r>
        <w:rPr>
          <w:rFonts w:ascii="Arial" w:hAnsi="Arial" w:cs="Arial"/>
          <w:color w:val="auto"/>
        </w:rPr>
        <w:t>” (</w:t>
      </w:r>
      <w:r w:rsidR="003B294A">
        <w:rPr>
          <w:rFonts w:ascii="Arial" w:hAnsi="Arial" w:cs="Arial"/>
          <w:color w:val="403838"/>
          <w:lang w:val="en"/>
        </w:rPr>
        <w:t xml:space="preserve">FDA, 2013, </w:t>
      </w:r>
      <w:r>
        <w:rPr>
          <w:rFonts w:ascii="Arial" w:hAnsi="Arial" w:cs="Arial"/>
          <w:color w:val="auto"/>
        </w:rPr>
        <w:t>pages 24-25)</w:t>
      </w:r>
    </w:p>
    <w:p w:rsidR="00B46236" w:rsidRDefault="00B46236" w:rsidP="00092D1E">
      <w:pPr>
        <w:pStyle w:val="Default"/>
        <w:ind w:left="720"/>
        <w:rPr>
          <w:rFonts w:ascii="Arial" w:hAnsi="Arial" w:cs="Arial"/>
          <w:color w:val="auto"/>
        </w:rPr>
      </w:pPr>
    </w:p>
    <w:p w:rsidR="00BB63B7" w:rsidRDefault="00BB63B7" w:rsidP="00092D1E">
      <w:pPr>
        <w:pStyle w:val="Default"/>
        <w:ind w:left="720"/>
        <w:rPr>
          <w:rFonts w:ascii="Arial" w:hAnsi="Arial" w:cs="Arial"/>
          <w:color w:val="auto"/>
        </w:rPr>
      </w:pPr>
      <w:r>
        <w:rPr>
          <w:rFonts w:ascii="Arial" w:hAnsi="Arial" w:cs="Arial"/>
          <w:color w:val="auto"/>
        </w:rPr>
        <w:t xml:space="preserve">“Another study saw damaged </w:t>
      </w:r>
      <w:r w:rsidR="00741956">
        <w:rPr>
          <w:rFonts w:ascii="Arial" w:hAnsi="Arial" w:cs="Arial"/>
          <w:color w:val="auto"/>
        </w:rPr>
        <w:t>mitochondria</w:t>
      </w:r>
      <w:r>
        <w:rPr>
          <w:rFonts w:ascii="Arial" w:hAnsi="Arial" w:cs="Arial"/>
          <w:color w:val="auto"/>
        </w:rPr>
        <w:t xml:space="preserve"> within 1-2 hours of exposure to elevated glucose.”  (</w:t>
      </w:r>
      <w:r w:rsidR="003B294A">
        <w:rPr>
          <w:rFonts w:ascii="Arial" w:hAnsi="Arial" w:cs="Arial"/>
          <w:color w:val="403838"/>
          <w:lang w:val="en"/>
        </w:rPr>
        <w:t xml:space="preserve">FDA, 2013, </w:t>
      </w:r>
      <w:r>
        <w:rPr>
          <w:rFonts w:ascii="Arial" w:hAnsi="Arial" w:cs="Arial"/>
          <w:color w:val="auto"/>
        </w:rPr>
        <w:t>page 25)</w:t>
      </w:r>
    </w:p>
    <w:p w:rsidR="00B46236" w:rsidRDefault="00B46236" w:rsidP="00092D1E">
      <w:pPr>
        <w:pStyle w:val="Default"/>
        <w:ind w:left="720"/>
        <w:rPr>
          <w:rFonts w:ascii="Arial" w:hAnsi="Arial" w:cs="Arial"/>
          <w:color w:val="auto"/>
        </w:rPr>
      </w:pPr>
    </w:p>
    <w:p w:rsidR="00213F63" w:rsidRDefault="00213F63" w:rsidP="00B46236">
      <w:pPr>
        <w:pStyle w:val="Default"/>
        <w:rPr>
          <w:rFonts w:ascii="Arial" w:hAnsi="Arial" w:cs="Arial"/>
          <w:color w:val="403838"/>
          <w:u w:val="single"/>
          <w:lang w:val="en"/>
        </w:rPr>
      </w:pPr>
    </w:p>
    <w:p w:rsidR="00B46236" w:rsidRDefault="0009037C" w:rsidP="00B46236">
      <w:pPr>
        <w:pStyle w:val="Default"/>
        <w:rPr>
          <w:rFonts w:ascii="Arial" w:hAnsi="Arial" w:cs="Arial"/>
          <w:color w:val="auto"/>
        </w:rPr>
      </w:pPr>
      <w:r w:rsidRPr="0009037C">
        <w:rPr>
          <w:rFonts w:ascii="Arial" w:hAnsi="Arial" w:cs="Arial"/>
          <w:color w:val="403838"/>
          <w:u w:val="single"/>
          <w:lang w:val="en"/>
        </w:rPr>
        <w:t>Section 8.6 of this FDA document</w:t>
      </w:r>
      <w:r>
        <w:rPr>
          <w:rFonts w:ascii="Arial" w:hAnsi="Arial" w:cs="Arial"/>
          <w:color w:val="403838"/>
          <w:lang w:val="en"/>
        </w:rPr>
        <w:t xml:space="preserve"> is titled, “Possible Mechanism of </w:t>
      </w:r>
      <w:r w:rsidR="00905175">
        <w:rPr>
          <w:rFonts w:ascii="Arial" w:hAnsi="Arial" w:cs="Arial"/>
          <w:color w:val="403838"/>
          <w:lang w:val="en"/>
        </w:rPr>
        <w:t>Action:  Mitochondrial Toxicity.</w:t>
      </w:r>
      <w:r>
        <w:rPr>
          <w:rFonts w:ascii="Arial" w:hAnsi="Arial" w:cs="Arial"/>
          <w:color w:val="403838"/>
          <w:lang w:val="en"/>
        </w:rPr>
        <w:t xml:space="preserve">” </w:t>
      </w:r>
      <w:r w:rsidR="00905175">
        <w:rPr>
          <w:rFonts w:ascii="Arial" w:hAnsi="Arial" w:cs="Arial"/>
          <w:color w:val="403838"/>
          <w:lang w:val="en"/>
        </w:rPr>
        <w:t xml:space="preserve"> I</w:t>
      </w:r>
      <w:r w:rsidR="00B46236">
        <w:rPr>
          <w:rFonts w:ascii="Arial" w:hAnsi="Arial" w:cs="Arial"/>
          <w:color w:val="auto"/>
        </w:rPr>
        <w:t>n addition to providing information about “Mitoc</w:t>
      </w:r>
      <w:r>
        <w:rPr>
          <w:rFonts w:ascii="Arial" w:hAnsi="Arial" w:cs="Arial"/>
          <w:color w:val="auto"/>
        </w:rPr>
        <w:t xml:space="preserve">hondrial Toxicity,” </w:t>
      </w:r>
      <w:r w:rsidR="00905175">
        <w:rPr>
          <w:rFonts w:ascii="Arial" w:hAnsi="Arial" w:cs="Arial"/>
          <w:color w:val="auto"/>
        </w:rPr>
        <w:t xml:space="preserve">this section </w:t>
      </w:r>
      <w:r w:rsidR="00B46236">
        <w:rPr>
          <w:rFonts w:ascii="Arial" w:hAnsi="Arial" w:cs="Arial"/>
          <w:color w:val="auto"/>
        </w:rPr>
        <w:t xml:space="preserve">discusses </w:t>
      </w:r>
      <w:r w:rsidR="00905175">
        <w:rPr>
          <w:rFonts w:ascii="Arial" w:hAnsi="Arial" w:cs="Arial"/>
          <w:color w:val="auto"/>
        </w:rPr>
        <w:t xml:space="preserve">fluoroquinolone </w:t>
      </w:r>
      <w:r w:rsidR="00B46236">
        <w:rPr>
          <w:rFonts w:ascii="Arial" w:hAnsi="Arial" w:cs="Arial"/>
          <w:color w:val="auto"/>
        </w:rPr>
        <w:t>drugs already removed from</w:t>
      </w:r>
      <w:r w:rsidR="00C93F9E">
        <w:rPr>
          <w:rFonts w:ascii="Arial" w:hAnsi="Arial" w:cs="Arial"/>
          <w:color w:val="auto"/>
        </w:rPr>
        <w:t xml:space="preserve"> the market due to toxicity as follows:</w:t>
      </w:r>
    </w:p>
    <w:p w:rsidR="00C93F9E" w:rsidRDefault="00C93F9E" w:rsidP="00B46236">
      <w:pPr>
        <w:pStyle w:val="Default"/>
        <w:rPr>
          <w:rFonts w:ascii="Arial" w:hAnsi="Arial" w:cs="Arial"/>
          <w:color w:val="auto"/>
        </w:rPr>
      </w:pPr>
    </w:p>
    <w:p w:rsidR="00C93F9E" w:rsidRDefault="00C93F9E" w:rsidP="00C93F9E">
      <w:pPr>
        <w:pStyle w:val="Default"/>
        <w:ind w:left="720"/>
        <w:rPr>
          <w:rFonts w:ascii="Arial" w:hAnsi="Arial" w:cs="Arial"/>
          <w:color w:val="auto"/>
        </w:rPr>
      </w:pPr>
      <w:r>
        <w:rPr>
          <w:rFonts w:ascii="Arial" w:hAnsi="Arial" w:cs="Arial"/>
          <w:color w:val="auto"/>
        </w:rPr>
        <w:t>“</w:t>
      </w:r>
      <w:proofErr w:type="spellStart"/>
      <w:r>
        <w:rPr>
          <w:rFonts w:ascii="Arial" w:hAnsi="Arial" w:cs="Arial"/>
          <w:color w:val="auto"/>
        </w:rPr>
        <w:t>Trovafloxa</w:t>
      </w:r>
      <w:r w:rsidR="00741956">
        <w:rPr>
          <w:rFonts w:ascii="Arial" w:hAnsi="Arial" w:cs="Arial"/>
          <w:color w:val="auto"/>
        </w:rPr>
        <w:t>c</w:t>
      </w:r>
      <w:r>
        <w:rPr>
          <w:rFonts w:ascii="Arial" w:hAnsi="Arial" w:cs="Arial"/>
          <w:color w:val="auto"/>
        </w:rPr>
        <w:t>in</w:t>
      </w:r>
      <w:proofErr w:type="spellEnd"/>
      <w:r>
        <w:rPr>
          <w:rFonts w:ascii="Arial" w:hAnsi="Arial" w:cs="Arial"/>
          <w:color w:val="auto"/>
        </w:rPr>
        <w:t xml:space="preserve"> was withdrawn from the market in 2001due to cases of liver failure.  Studies in cultured hepatocytes identified the mitochondria as the source of </w:t>
      </w:r>
      <w:proofErr w:type="spellStart"/>
      <w:r>
        <w:rPr>
          <w:rFonts w:ascii="Arial" w:hAnsi="Arial" w:cs="Arial"/>
          <w:color w:val="auto"/>
        </w:rPr>
        <w:t>trovafloxacin’s</w:t>
      </w:r>
      <w:proofErr w:type="spellEnd"/>
      <w:r>
        <w:rPr>
          <w:rFonts w:ascii="Arial" w:hAnsi="Arial" w:cs="Arial"/>
          <w:color w:val="auto"/>
        </w:rPr>
        <w:t xml:space="preserve"> hepatotoxicity. (</w:t>
      </w:r>
      <w:r w:rsidR="003B294A">
        <w:rPr>
          <w:rFonts w:ascii="Arial" w:hAnsi="Arial" w:cs="Arial"/>
          <w:color w:val="403838"/>
          <w:lang w:val="en"/>
        </w:rPr>
        <w:t xml:space="preserve">FDA, 2013, </w:t>
      </w:r>
      <w:r>
        <w:rPr>
          <w:rFonts w:ascii="Arial" w:hAnsi="Arial" w:cs="Arial"/>
          <w:color w:val="auto"/>
        </w:rPr>
        <w:t xml:space="preserve">page 25)  </w:t>
      </w:r>
    </w:p>
    <w:p w:rsidR="00C93F9E" w:rsidRDefault="00C93F9E" w:rsidP="00A81B7F">
      <w:pPr>
        <w:pStyle w:val="Default"/>
        <w:rPr>
          <w:rFonts w:ascii="Arial" w:hAnsi="Arial" w:cs="Arial"/>
          <w:color w:val="auto"/>
        </w:rPr>
      </w:pPr>
    </w:p>
    <w:p w:rsidR="002B4AE3" w:rsidRPr="005A79BF" w:rsidRDefault="005031AC" w:rsidP="00457080">
      <w:pPr>
        <w:pStyle w:val="Default"/>
        <w:ind w:left="720"/>
        <w:rPr>
          <w:rFonts w:ascii="Arial" w:hAnsi="Arial" w:cs="Arial"/>
          <w:color w:val="auto"/>
        </w:rPr>
      </w:pPr>
      <w:r>
        <w:rPr>
          <w:rFonts w:ascii="Arial" w:hAnsi="Arial" w:cs="Arial"/>
          <w:color w:val="auto"/>
        </w:rPr>
        <w:t>“</w:t>
      </w:r>
      <w:proofErr w:type="spellStart"/>
      <w:r>
        <w:rPr>
          <w:rFonts w:ascii="Arial" w:hAnsi="Arial" w:cs="Arial"/>
          <w:color w:val="auto"/>
        </w:rPr>
        <w:t>Gatifloxacin</w:t>
      </w:r>
      <w:proofErr w:type="spellEnd"/>
      <w:r>
        <w:rPr>
          <w:rFonts w:ascii="Arial" w:hAnsi="Arial" w:cs="Arial"/>
          <w:color w:val="auto"/>
        </w:rPr>
        <w:t xml:space="preserve"> was withdrawn from the market in 2006 becau</w:t>
      </w:r>
      <w:r w:rsidR="00BB63B7">
        <w:rPr>
          <w:rFonts w:ascii="Arial" w:hAnsi="Arial" w:cs="Arial"/>
          <w:color w:val="auto"/>
        </w:rPr>
        <w:t>s</w:t>
      </w:r>
      <w:r>
        <w:rPr>
          <w:rFonts w:ascii="Arial" w:hAnsi="Arial" w:cs="Arial"/>
          <w:color w:val="auto"/>
        </w:rPr>
        <w:t xml:space="preserve">e of sever glucose disturbances.  …An in vitro study found that high glucose </w:t>
      </w:r>
      <w:r w:rsidR="00BB63B7">
        <w:rPr>
          <w:rFonts w:ascii="Arial" w:hAnsi="Arial" w:cs="Arial"/>
          <w:color w:val="auto"/>
        </w:rPr>
        <w:t>resulted</w:t>
      </w:r>
      <w:r>
        <w:rPr>
          <w:rFonts w:ascii="Arial" w:hAnsi="Arial" w:cs="Arial"/>
          <w:color w:val="auto"/>
        </w:rPr>
        <w:t xml:space="preserve"> in excessive ROS and mitochondrial dysfuncti</w:t>
      </w:r>
      <w:r w:rsidR="00BB63B7">
        <w:rPr>
          <w:rFonts w:ascii="Arial" w:hAnsi="Arial" w:cs="Arial"/>
          <w:color w:val="auto"/>
        </w:rPr>
        <w:t>o</w:t>
      </w:r>
      <w:r>
        <w:rPr>
          <w:rFonts w:ascii="Arial" w:hAnsi="Arial" w:cs="Arial"/>
          <w:color w:val="auto"/>
        </w:rPr>
        <w:t>n,</w:t>
      </w:r>
      <w:r w:rsidR="00BB63B7">
        <w:rPr>
          <w:rFonts w:ascii="Arial" w:hAnsi="Arial" w:cs="Arial"/>
          <w:color w:val="auto"/>
        </w:rPr>
        <w:t xml:space="preserve"> </w:t>
      </w:r>
      <w:r>
        <w:rPr>
          <w:rFonts w:ascii="Arial" w:hAnsi="Arial" w:cs="Arial"/>
          <w:color w:val="auto"/>
        </w:rPr>
        <w:t xml:space="preserve">which result in a high </w:t>
      </w:r>
      <w:r w:rsidR="00BB63B7">
        <w:rPr>
          <w:rFonts w:ascii="Arial" w:hAnsi="Arial" w:cs="Arial"/>
          <w:color w:val="auto"/>
        </w:rPr>
        <w:t>frequency</w:t>
      </w:r>
      <w:r>
        <w:rPr>
          <w:rFonts w:ascii="Arial" w:hAnsi="Arial" w:cs="Arial"/>
          <w:color w:val="auto"/>
        </w:rPr>
        <w:t xml:space="preserve"> of Schwann cell apoptosis.  Intermittent high glucose also produces a signi</w:t>
      </w:r>
      <w:r w:rsidR="00BB63B7">
        <w:rPr>
          <w:rFonts w:ascii="Arial" w:hAnsi="Arial" w:cs="Arial"/>
          <w:color w:val="auto"/>
        </w:rPr>
        <w:t>fi</w:t>
      </w:r>
      <w:r>
        <w:rPr>
          <w:rFonts w:ascii="Arial" w:hAnsi="Arial" w:cs="Arial"/>
          <w:color w:val="auto"/>
        </w:rPr>
        <w:t>cantly hi</w:t>
      </w:r>
      <w:r w:rsidR="00BB63B7">
        <w:rPr>
          <w:rFonts w:ascii="Arial" w:hAnsi="Arial" w:cs="Arial"/>
          <w:color w:val="auto"/>
        </w:rPr>
        <w:t>gh</w:t>
      </w:r>
      <w:r>
        <w:rPr>
          <w:rFonts w:ascii="Arial" w:hAnsi="Arial" w:cs="Arial"/>
          <w:color w:val="auto"/>
        </w:rPr>
        <w:t>er</w:t>
      </w:r>
      <w:r w:rsidR="00BB63B7">
        <w:rPr>
          <w:rFonts w:ascii="Arial" w:hAnsi="Arial" w:cs="Arial"/>
          <w:color w:val="auto"/>
        </w:rPr>
        <w:t xml:space="preserve"> </w:t>
      </w:r>
      <w:r>
        <w:rPr>
          <w:rFonts w:ascii="Arial" w:hAnsi="Arial" w:cs="Arial"/>
          <w:color w:val="auto"/>
        </w:rPr>
        <w:t xml:space="preserve">percentage of oxidative </w:t>
      </w:r>
      <w:r w:rsidR="00BB63B7">
        <w:rPr>
          <w:rFonts w:ascii="Arial" w:hAnsi="Arial" w:cs="Arial"/>
          <w:color w:val="auto"/>
        </w:rPr>
        <w:t>stress</w:t>
      </w:r>
      <w:r>
        <w:rPr>
          <w:rFonts w:ascii="Arial" w:hAnsi="Arial" w:cs="Arial"/>
          <w:color w:val="auto"/>
        </w:rPr>
        <w:t xml:space="preserve"> and </w:t>
      </w:r>
      <w:r w:rsidR="00BB63B7">
        <w:rPr>
          <w:rFonts w:ascii="Arial" w:hAnsi="Arial" w:cs="Arial"/>
          <w:color w:val="auto"/>
        </w:rPr>
        <w:t>apoptosis</w:t>
      </w:r>
      <w:r>
        <w:rPr>
          <w:rFonts w:ascii="Arial" w:hAnsi="Arial" w:cs="Arial"/>
          <w:color w:val="auto"/>
        </w:rPr>
        <w:t xml:space="preserve"> in Schwann cells than </w:t>
      </w:r>
      <w:r w:rsidR="00BB63B7">
        <w:rPr>
          <w:rFonts w:ascii="Arial" w:hAnsi="Arial" w:cs="Arial"/>
          <w:color w:val="auto"/>
        </w:rPr>
        <w:t>constant</w:t>
      </w:r>
      <w:r>
        <w:rPr>
          <w:rFonts w:ascii="Arial" w:hAnsi="Arial" w:cs="Arial"/>
          <w:color w:val="auto"/>
        </w:rPr>
        <w:t xml:space="preserve"> high </w:t>
      </w:r>
      <w:r w:rsidR="00BB63B7">
        <w:rPr>
          <w:rFonts w:ascii="Arial" w:hAnsi="Arial" w:cs="Arial"/>
          <w:color w:val="auto"/>
        </w:rPr>
        <w:t>glucose</w:t>
      </w:r>
      <w:r>
        <w:rPr>
          <w:rFonts w:ascii="Arial" w:hAnsi="Arial" w:cs="Arial"/>
          <w:color w:val="auto"/>
        </w:rPr>
        <w:t>.</w:t>
      </w:r>
      <w:r w:rsidR="00BB63B7">
        <w:rPr>
          <w:rFonts w:ascii="Arial" w:hAnsi="Arial" w:cs="Arial"/>
          <w:color w:val="auto"/>
        </w:rPr>
        <w:t xml:space="preserve"> </w:t>
      </w:r>
      <w:r>
        <w:rPr>
          <w:rFonts w:ascii="Arial" w:hAnsi="Arial" w:cs="Arial"/>
          <w:color w:val="auto"/>
        </w:rPr>
        <w:t xml:space="preserve"> A study done in type 2 </w:t>
      </w:r>
      <w:r w:rsidR="00BB63B7">
        <w:rPr>
          <w:rFonts w:ascii="Arial" w:hAnsi="Arial" w:cs="Arial"/>
          <w:color w:val="auto"/>
        </w:rPr>
        <w:t>diabetic</w:t>
      </w:r>
      <w:r>
        <w:rPr>
          <w:rFonts w:ascii="Arial" w:hAnsi="Arial" w:cs="Arial"/>
          <w:color w:val="auto"/>
        </w:rPr>
        <w:t xml:space="preserve"> mice saw that with an </w:t>
      </w:r>
      <w:r w:rsidR="00BB63B7">
        <w:rPr>
          <w:rFonts w:ascii="Arial" w:hAnsi="Arial" w:cs="Arial"/>
          <w:color w:val="auto"/>
        </w:rPr>
        <w:t>increase</w:t>
      </w:r>
      <w:r>
        <w:rPr>
          <w:rFonts w:ascii="Arial" w:hAnsi="Arial" w:cs="Arial"/>
          <w:color w:val="auto"/>
        </w:rPr>
        <w:t xml:space="preserve"> in </w:t>
      </w:r>
      <w:r w:rsidR="00BB63B7">
        <w:rPr>
          <w:rFonts w:ascii="Arial" w:hAnsi="Arial" w:cs="Arial"/>
          <w:color w:val="auto"/>
        </w:rPr>
        <w:t>extracellular</w:t>
      </w:r>
      <w:r>
        <w:rPr>
          <w:rFonts w:ascii="Arial" w:hAnsi="Arial" w:cs="Arial"/>
          <w:color w:val="auto"/>
        </w:rPr>
        <w:t xml:space="preserve"> glucose, there was </w:t>
      </w:r>
      <w:r w:rsidR="00BB63B7">
        <w:rPr>
          <w:rFonts w:ascii="Arial" w:hAnsi="Arial" w:cs="Arial"/>
          <w:color w:val="auto"/>
        </w:rPr>
        <w:t>excessive</w:t>
      </w:r>
      <w:r>
        <w:rPr>
          <w:rFonts w:ascii="Arial" w:hAnsi="Arial" w:cs="Arial"/>
          <w:color w:val="auto"/>
        </w:rPr>
        <w:t xml:space="preserve"> mitochondrial </w:t>
      </w:r>
      <w:r w:rsidR="00BB63B7">
        <w:rPr>
          <w:rFonts w:ascii="Arial" w:hAnsi="Arial" w:cs="Arial"/>
          <w:color w:val="auto"/>
        </w:rPr>
        <w:t>fission; this was thought</w:t>
      </w:r>
      <w:r>
        <w:rPr>
          <w:rFonts w:ascii="Arial" w:hAnsi="Arial" w:cs="Arial"/>
          <w:color w:val="auto"/>
        </w:rPr>
        <w:t xml:space="preserve"> to result in dorsal root ganglia</w:t>
      </w:r>
      <w:r w:rsidR="00BB63B7">
        <w:rPr>
          <w:rFonts w:ascii="Arial" w:hAnsi="Arial" w:cs="Arial"/>
          <w:color w:val="auto"/>
        </w:rPr>
        <w:t xml:space="preserve"> (DRG) neuron oxidative stress and neuronal injury, or activation of the caspase cascade, leading</w:t>
      </w:r>
      <w:r>
        <w:rPr>
          <w:rFonts w:ascii="Arial" w:hAnsi="Arial" w:cs="Arial"/>
          <w:color w:val="auto"/>
        </w:rPr>
        <w:t xml:space="preserve"> to programmed cell death.  </w:t>
      </w:r>
      <w:r w:rsidR="00BB63B7">
        <w:rPr>
          <w:rFonts w:ascii="Arial" w:hAnsi="Arial" w:cs="Arial"/>
          <w:color w:val="auto"/>
        </w:rPr>
        <w:t>Another</w:t>
      </w:r>
      <w:r>
        <w:rPr>
          <w:rFonts w:ascii="Arial" w:hAnsi="Arial" w:cs="Arial"/>
          <w:color w:val="auto"/>
        </w:rPr>
        <w:t xml:space="preserve"> study saw damage </w:t>
      </w:r>
      <w:r w:rsidR="00BB63B7">
        <w:rPr>
          <w:rFonts w:ascii="Arial" w:hAnsi="Arial" w:cs="Arial"/>
          <w:color w:val="auto"/>
        </w:rPr>
        <w:t>mitochondria</w:t>
      </w:r>
      <w:r>
        <w:rPr>
          <w:rFonts w:ascii="Arial" w:hAnsi="Arial" w:cs="Arial"/>
          <w:color w:val="auto"/>
        </w:rPr>
        <w:t xml:space="preserve"> </w:t>
      </w:r>
      <w:r w:rsidR="00BB63B7">
        <w:rPr>
          <w:rFonts w:ascii="Arial" w:hAnsi="Arial" w:cs="Arial"/>
          <w:color w:val="auto"/>
        </w:rPr>
        <w:t>with</w:t>
      </w:r>
      <w:r>
        <w:rPr>
          <w:rFonts w:ascii="Arial" w:hAnsi="Arial" w:cs="Arial"/>
          <w:color w:val="auto"/>
        </w:rPr>
        <w:t xml:space="preserve"> 1-2 hours of exposure to elevated glucose.”  (</w:t>
      </w:r>
      <w:r w:rsidR="00F24F72">
        <w:rPr>
          <w:rFonts w:ascii="Arial" w:hAnsi="Arial" w:cs="Arial"/>
          <w:color w:val="403838"/>
          <w:lang w:val="en"/>
        </w:rPr>
        <w:t xml:space="preserve">FDA, 2013, </w:t>
      </w:r>
      <w:r w:rsidR="00F24F72">
        <w:rPr>
          <w:rFonts w:ascii="Arial" w:hAnsi="Arial" w:cs="Arial"/>
          <w:color w:val="auto"/>
        </w:rPr>
        <w:t>page 25</w:t>
      </w:r>
      <w:r>
        <w:rPr>
          <w:rFonts w:ascii="Arial" w:hAnsi="Arial" w:cs="Arial"/>
          <w:color w:val="auto"/>
        </w:rPr>
        <w:t>)</w:t>
      </w:r>
    </w:p>
    <w:p w:rsidR="00092D1E" w:rsidRDefault="00092D1E" w:rsidP="00092D1E">
      <w:pPr>
        <w:pStyle w:val="ListParagraph"/>
        <w:ind w:left="0"/>
        <w:rPr>
          <w:rFonts w:ascii="Arial" w:hAnsi="Arial" w:cs="Arial"/>
          <w:color w:val="403838"/>
          <w:sz w:val="24"/>
          <w:szCs w:val="24"/>
          <w:lang w:val="en"/>
        </w:rPr>
      </w:pPr>
    </w:p>
    <w:p w:rsidR="00C00F0A" w:rsidRDefault="00457080" w:rsidP="0058509A">
      <w:pPr>
        <w:rPr>
          <w:rFonts w:ascii="Arial" w:hAnsi="Arial" w:cs="Arial"/>
        </w:rPr>
      </w:pPr>
      <w:r w:rsidRPr="00457080">
        <w:rPr>
          <w:rFonts w:ascii="Arial" w:hAnsi="Arial" w:cs="Arial"/>
          <w:color w:val="403838"/>
          <w:sz w:val="24"/>
          <w:szCs w:val="24"/>
          <w:lang w:val="en"/>
        </w:rPr>
        <w:t xml:space="preserve">It should </w:t>
      </w:r>
      <w:r w:rsidR="00F24F72">
        <w:rPr>
          <w:rFonts w:ascii="Arial" w:hAnsi="Arial" w:cs="Arial"/>
          <w:color w:val="403838"/>
          <w:sz w:val="24"/>
          <w:szCs w:val="24"/>
          <w:lang w:val="en"/>
        </w:rPr>
        <w:t>be noted that</w:t>
      </w:r>
      <w:r w:rsidR="0058509A">
        <w:rPr>
          <w:rFonts w:ascii="Arial" w:hAnsi="Arial" w:cs="Arial"/>
          <w:color w:val="403838"/>
          <w:sz w:val="24"/>
          <w:szCs w:val="24"/>
          <w:lang w:val="en"/>
        </w:rPr>
        <w:t xml:space="preserve"> </w:t>
      </w:r>
      <w:r w:rsidRPr="00457080">
        <w:rPr>
          <w:rFonts w:ascii="Arial" w:hAnsi="Arial" w:cs="Arial"/>
          <w:color w:val="403838"/>
          <w:sz w:val="24"/>
          <w:szCs w:val="24"/>
          <w:lang w:val="en"/>
        </w:rPr>
        <w:t>Lev</w:t>
      </w:r>
      <w:r w:rsidR="00741956">
        <w:rPr>
          <w:rFonts w:ascii="Arial" w:hAnsi="Arial" w:cs="Arial"/>
          <w:color w:val="403838"/>
          <w:sz w:val="24"/>
          <w:szCs w:val="24"/>
          <w:lang w:val="en"/>
        </w:rPr>
        <w:t>a</w:t>
      </w:r>
      <w:r w:rsidRPr="00457080">
        <w:rPr>
          <w:rFonts w:ascii="Arial" w:hAnsi="Arial" w:cs="Arial"/>
          <w:color w:val="403838"/>
          <w:sz w:val="24"/>
          <w:szCs w:val="24"/>
          <w:lang w:val="en"/>
        </w:rPr>
        <w:t>quin</w:t>
      </w:r>
      <w:r w:rsidR="00C93F9E" w:rsidRPr="00457080">
        <w:rPr>
          <w:rFonts w:ascii="Arial" w:hAnsi="Arial" w:cs="Arial"/>
          <w:color w:val="403838"/>
          <w:sz w:val="24"/>
          <w:szCs w:val="24"/>
          <w:lang w:val="en"/>
        </w:rPr>
        <w:t xml:space="preserve"> has </w:t>
      </w:r>
      <w:r w:rsidRPr="00457080">
        <w:rPr>
          <w:rFonts w:ascii="Arial" w:hAnsi="Arial" w:cs="Arial"/>
          <w:color w:val="403838"/>
          <w:sz w:val="24"/>
          <w:szCs w:val="24"/>
          <w:lang w:val="en"/>
        </w:rPr>
        <w:t>“</w:t>
      </w:r>
      <w:r w:rsidR="00C93F9E" w:rsidRPr="00457080">
        <w:rPr>
          <w:rFonts w:ascii="Arial" w:hAnsi="Arial" w:cs="Arial"/>
          <w:color w:val="403838"/>
          <w:sz w:val="24"/>
          <w:szCs w:val="24"/>
          <w:lang w:val="en"/>
        </w:rPr>
        <w:t>class effect</w:t>
      </w:r>
      <w:r w:rsidRPr="00457080">
        <w:rPr>
          <w:rFonts w:ascii="Arial" w:hAnsi="Arial" w:cs="Arial"/>
          <w:color w:val="403838"/>
          <w:sz w:val="24"/>
          <w:szCs w:val="24"/>
          <w:lang w:val="en"/>
        </w:rPr>
        <w:t>”</w:t>
      </w:r>
      <w:r w:rsidR="00C93F9E" w:rsidRPr="00457080">
        <w:rPr>
          <w:rFonts w:ascii="Arial" w:hAnsi="Arial" w:cs="Arial"/>
          <w:color w:val="403838"/>
          <w:sz w:val="24"/>
          <w:szCs w:val="24"/>
          <w:lang w:val="en"/>
        </w:rPr>
        <w:t xml:space="preserve"> with other fluoroq</w:t>
      </w:r>
      <w:r w:rsidR="0058509A">
        <w:rPr>
          <w:rFonts w:ascii="Arial" w:hAnsi="Arial" w:cs="Arial"/>
          <w:color w:val="403838"/>
          <w:sz w:val="24"/>
          <w:szCs w:val="24"/>
          <w:lang w:val="en"/>
        </w:rPr>
        <w:t>uinolones</w:t>
      </w:r>
      <w:r w:rsidR="00F24F72">
        <w:rPr>
          <w:rFonts w:ascii="Arial" w:hAnsi="Arial" w:cs="Arial"/>
          <w:color w:val="403838"/>
          <w:sz w:val="24"/>
          <w:szCs w:val="24"/>
          <w:lang w:val="en"/>
        </w:rPr>
        <w:t>, a</w:t>
      </w:r>
      <w:r w:rsidR="0058509A">
        <w:rPr>
          <w:rFonts w:ascii="Arial" w:hAnsi="Arial" w:cs="Arial"/>
          <w:color w:val="403838"/>
          <w:sz w:val="24"/>
          <w:szCs w:val="24"/>
          <w:lang w:val="en"/>
        </w:rPr>
        <w:t>s indicated in numerous sections of the Levaquin label</w:t>
      </w:r>
      <w:r w:rsidR="00F24F72">
        <w:rPr>
          <w:rFonts w:ascii="Arial" w:hAnsi="Arial" w:cs="Arial"/>
          <w:color w:val="403838"/>
          <w:sz w:val="24"/>
          <w:szCs w:val="24"/>
          <w:lang w:val="en"/>
        </w:rPr>
        <w:t>, in multiple label versions</w:t>
      </w:r>
      <w:r w:rsidR="00462795">
        <w:rPr>
          <w:rFonts w:ascii="Arial" w:hAnsi="Arial" w:cs="Arial"/>
          <w:color w:val="403838"/>
          <w:sz w:val="24"/>
          <w:szCs w:val="24"/>
          <w:lang w:val="en"/>
        </w:rPr>
        <w:t>,</w:t>
      </w:r>
      <w:r w:rsidR="00F24F72">
        <w:rPr>
          <w:rFonts w:ascii="Arial" w:hAnsi="Arial" w:cs="Arial"/>
          <w:color w:val="403838"/>
          <w:sz w:val="24"/>
          <w:szCs w:val="24"/>
          <w:lang w:val="en"/>
        </w:rPr>
        <w:t xml:space="preserve"> </w:t>
      </w:r>
      <w:r w:rsidR="0058509A">
        <w:rPr>
          <w:rFonts w:ascii="Arial" w:hAnsi="Arial" w:cs="Arial"/>
          <w:color w:val="403838"/>
          <w:sz w:val="24"/>
          <w:szCs w:val="24"/>
          <w:lang w:val="en"/>
        </w:rPr>
        <w:t xml:space="preserve">over the past decade. </w:t>
      </w:r>
      <w:r w:rsidR="0058509A">
        <w:rPr>
          <w:rFonts w:ascii="Arial" w:hAnsi="Arial" w:cs="Arial"/>
          <w:color w:val="403838"/>
          <w:sz w:val="24"/>
          <w:szCs w:val="24"/>
          <w:lang w:val="en"/>
        </w:rPr>
        <w:lastRenderedPageBreak/>
        <w:t>(</w:t>
      </w:r>
      <w:proofErr w:type="spellStart"/>
      <w:r w:rsidR="0058509A">
        <w:rPr>
          <w:rFonts w:ascii="Arial" w:hAnsi="Arial" w:cs="Arial"/>
          <w:color w:val="403838"/>
          <w:sz w:val="24"/>
          <w:szCs w:val="24"/>
          <w:lang w:val="en"/>
        </w:rPr>
        <w:t>Drugs@FDA</w:t>
      </w:r>
      <w:proofErr w:type="spellEnd"/>
      <w:r w:rsidR="0058509A">
        <w:rPr>
          <w:rFonts w:ascii="Arial" w:hAnsi="Arial" w:cs="Arial"/>
          <w:color w:val="403838"/>
          <w:sz w:val="24"/>
          <w:szCs w:val="24"/>
          <w:lang w:val="en"/>
        </w:rPr>
        <w:t>, 2014)  Additionally, Levaquin’s “class effect” with other fluoroquinolones is described in the</w:t>
      </w:r>
      <w:r w:rsidR="00114510">
        <w:rPr>
          <w:rFonts w:ascii="Arial" w:hAnsi="Arial" w:cs="Arial"/>
          <w:color w:val="403838"/>
          <w:sz w:val="24"/>
          <w:szCs w:val="24"/>
          <w:lang w:val="en"/>
        </w:rPr>
        <w:t xml:space="preserve"> </w:t>
      </w:r>
      <w:r w:rsidR="0058509A">
        <w:rPr>
          <w:rFonts w:ascii="Arial" w:hAnsi="Arial" w:cs="Arial"/>
          <w:color w:val="403838"/>
          <w:sz w:val="24"/>
          <w:szCs w:val="24"/>
          <w:lang w:val="en"/>
        </w:rPr>
        <w:t>1</w:t>
      </w:r>
      <w:r w:rsidR="00E45726" w:rsidRPr="00F24F72">
        <w:rPr>
          <w:rFonts w:ascii="Arial" w:hAnsi="Arial" w:cs="Arial"/>
          <w:color w:val="403838"/>
          <w:sz w:val="24"/>
          <w:szCs w:val="24"/>
          <w:lang w:val="en"/>
        </w:rPr>
        <w:t xml:space="preserve">2/20/1996 </w:t>
      </w:r>
      <w:r w:rsidR="00F24F72">
        <w:rPr>
          <w:rFonts w:ascii="Arial" w:hAnsi="Arial" w:cs="Arial"/>
          <w:color w:val="403838"/>
          <w:sz w:val="24"/>
          <w:szCs w:val="24"/>
          <w:lang w:val="en"/>
        </w:rPr>
        <w:t>“</w:t>
      </w:r>
      <w:r w:rsidR="00E45726" w:rsidRPr="00F24F72">
        <w:rPr>
          <w:rFonts w:ascii="Arial" w:hAnsi="Arial" w:cs="Arial"/>
          <w:color w:val="403838"/>
          <w:sz w:val="24"/>
          <w:szCs w:val="24"/>
          <w:lang w:val="en"/>
        </w:rPr>
        <w:t>Levaquin Approval Document</w:t>
      </w:r>
      <w:r w:rsidR="00F24F72">
        <w:rPr>
          <w:rFonts w:ascii="Arial" w:hAnsi="Arial" w:cs="Arial"/>
          <w:color w:val="403838"/>
          <w:sz w:val="24"/>
          <w:szCs w:val="24"/>
          <w:lang w:val="en"/>
        </w:rPr>
        <w:t xml:space="preserve">” submitted to the FDA by </w:t>
      </w:r>
      <w:r w:rsidR="00E45726" w:rsidRPr="00F24F72">
        <w:rPr>
          <w:rFonts w:ascii="Arial" w:hAnsi="Arial" w:cs="Arial"/>
          <w:color w:val="403838"/>
          <w:sz w:val="24"/>
          <w:szCs w:val="24"/>
          <w:lang w:val="en"/>
        </w:rPr>
        <w:t>Johnson &amp; Johnson</w:t>
      </w:r>
      <w:r w:rsidR="00F24F72">
        <w:rPr>
          <w:rFonts w:ascii="Arial" w:hAnsi="Arial" w:cs="Arial"/>
          <w:color w:val="403838"/>
          <w:sz w:val="24"/>
          <w:szCs w:val="24"/>
          <w:lang w:val="en"/>
        </w:rPr>
        <w:t xml:space="preserve">. </w:t>
      </w:r>
      <w:r w:rsidR="0058509A" w:rsidRPr="00F24F72">
        <w:rPr>
          <w:rFonts w:ascii="Arial" w:hAnsi="Arial" w:cs="Arial"/>
          <w:color w:val="403838"/>
          <w:sz w:val="24"/>
          <w:szCs w:val="24"/>
          <w:lang w:val="en"/>
        </w:rPr>
        <w:t>(</w:t>
      </w:r>
      <w:proofErr w:type="spellStart"/>
      <w:r w:rsidR="0059121D" w:rsidRPr="00F24F72">
        <w:rPr>
          <w:rFonts w:ascii="Arial" w:hAnsi="Arial" w:cs="Arial"/>
          <w:color w:val="403838"/>
          <w:sz w:val="24"/>
          <w:szCs w:val="24"/>
          <w:lang w:val="en"/>
        </w:rPr>
        <w:t>Drugs@FDA</w:t>
      </w:r>
      <w:proofErr w:type="spellEnd"/>
      <w:r w:rsidR="0058509A" w:rsidRPr="00F24F72">
        <w:rPr>
          <w:rFonts w:ascii="Arial" w:hAnsi="Arial" w:cs="Arial"/>
          <w:color w:val="403838"/>
          <w:sz w:val="24"/>
          <w:szCs w:val="24"/>
          <w:lang w:val="en"/>
        </w:rPr>
        <w:t>, 2014)</w:t>
      </w:r>
      <w:r w:rsidR="0059121D" w:rsidRPr="00F24F72">
        <w:rPr>
          <w:rFonts w:ascii="Arial" w:hAnsi="Arial" w:cs="Arial"/>
          <w:color w:val="403838"/>
          <w:sz w:val="24"/>
          <w:szCs w:val="24"/>
          <w:lang w:val="en"/>
        </w:rPr>
        <w:t>.</w:t>
      </w:r>
      <w:r w:rsidR="00F24F72" w:rsidRPr="00F24F72">
        <w:rPr>
          <w:rFonts w:ascii="Arial" w:hAnsi="Arial" w:cs="Arial"/>
          <w:color w:val="403838"/>
          <w:sz w:val="24"/>
          <w:szCs w:val="24"/>
          <w:lang w:val="en"/>
        </w:rPr>
        <w:t xml:space="preserve">  </w:t>
      </w:r>
      <w:r w:rsidR="00F24F72">
        <w:rPr>
          <w:rFonts w:ascii="Arial" w:hAnsi="Arial" w:cs="Arial"/>
          <w:color w:val="403838"/>
          <w:sz w:val="24"/>
          <w:szCs w:val="24"/>
          <w:lang w:val="en"/>
        </w:rPr>
        <w:t>It is assumed, based on these sources</w:t>
      </w:r>
      <w:r w:rsidR="00F24F72" w:rsidRPr="00F24F72">
        <w:rPr>
          <w:rFonts w:ascii="Arial" w:hAnsi="Arial" w:cs="Arial"/>
          <w:color w:val="403838"/>
          <w:sz w:val="24"/>
          <w:szCs w:val="24"/>
          <w:lang w:val="en"/>
        </w:rPr>
        <w:t xml:space="preserve">, </w:t>
      </w:r>
      <w:r w:rsidR="00F24F72">
        <w:rPr>
          <w:rFonts w:ascii="Arial" w:hAnsi="Arial" w:cs="Arial"/>
          <w:color w:val="403838"/>
          <w:sz w:val="24"/>
          <w:szCs w:val="24"/>
          <w:lang w:val="en"/>
        </w:rPr>
        <w:t>that Leva</w:t>
      </w:r>
      <w:r w:rsidR="00F24F72" w:rsidRPr="00F24F72">
        <w:rPr>
          <w:rFonts w:ascii="Arial" w:hAnsi="Arial" w:cs="Arial"/>
          <w:color w:val="403838"/>
          <w:sz w:val="24"/>
          <w:szCs w:val="24"/>
          <w:lang w:val="en"/>
        </w:rPr>
        <w:t>q</w:t>
      </w:r>
      <w:r w:rsidR="00F24F72">
        <w:rPr>
          <w:rFonts w:ascii="Arial" w:hAnsi="Arial" w:cs="Arial"/>
          <w:color w:val="403838"/>
          <w:sz w:val="24"/>
          <w:szCs w:val="24"/>
          <w:lang w:val="en"/>
        </w:rPr>
        <w:t>u</w:t>
      </w:r>
      <w:r w:rsidR="00F24F72" w:rsidRPr="00F24F72">
        <w:rPr>
          <w:rFonts w:ascii="Arial" w:hAnsi="Arial" w:cs="Arial"/>
          <w:color w:val="403838"/>
          <w:sz w:val="24"/>
          <w:szCs w:val="24"/>
          <w:lang w:val="en"/>
        </w:rPr>
        <w:t>in has class effect with</w:t>
      </w:r>
      <w:r w:rsidR="00F24F72">
        <w:rPr>
          <w:rFonts w:ascii="Arial" w:hAnsi="Arial" w:cs="Arial"/>
          <w:color w:val="403838"/>
          <w:sz w:val="24"/>
          <w:szCs w:val="24"/>
          <w:lang w:val="en"/>
        </w:rPr>
        <w:t xml:space="preserve"> </w:t>
      </w:r>
      <w:proofErr w:type="spellStart"/>
      <w:r w:rsidR="00F24F72">
        <w:rPr>
          <w:rFonts w:ascii="Arial" w:hAnsi="Arial" w:cs="Arial"/>
          <w:color w:val="403838"/>
          <w:sz w:val="24"/>
          <w:szCs w:val="24"/>
          <w:lang w:val="en"/>
        </w:rPr>
        <w:t>Trovafloxacin</w:t>
      </w:r>
      <w:proofErr w:type="spellEnd"/>
      <w:r w:rsidR="00F24F72">
        <w:rPr>
          <w:rFonts w:ascii="Arial" w:hAnsi="Arial" w:cs="Arial"/>
          <w:color w:val="403838"/>
          <w:sz w:val="24"/>
          <w:szCs w:val="24"/>
          <w:lang w:val="en"/>
        </w:rPr>
        <w:t xml:space="preserve"> and </w:t>
      </w:r>
      <w:proofErr w:type="spellStart"/>
      <w:r w:rsidR="00F24F72">
        <w:rPr>
          <w:rFonts w:ascii="Arial" w:hAnsi="Arial" w:cs="Arial"/>
          <w:color w:val="403838"/>
          <w:sz w:val="24"/>
          <w:szCs w:val="24"/>
          <w:lang w:val="en"/>
        </w:rPr>
        <w:t>Gatifloxacin</w:t>
      </w:r>
      <w:proofErr w:type="spellEnd"/>
      <w:r w:rsidR="00F24F72">
        <w:rPr>
          <w:rFonts w:ascii="Arial" w:hAnsi="Arial" w:cs="Arial"/>
          <w:color w:val="403838"/>
          <w:sz w:val="24"/>
          <w:szCs w:val="24"/>
          <w:lang w:val="en"/>
        </w:rPr>
        <w:t xml:space="preserve">, both of which were removed from the market due to Mitochondria Toxicity as described in this FDA </w:t>
      </w:r>
      <w:r w:rsidR="00D946E0">
        <w:rPr>
          <w:rFonts w:ascii="Arial" w:hAnsi="Arial" w:cs="Arial"/>
          <w:color w:val="403838"/>
          <w:sz w:val="24"/>
          <w:szCs w:val="24"/>
          <w:lang w:val="en"/>
        </w:rPr>
        <w:t xml:space="preserve">2013 </w:t>
      </w:r>
      <w:r w:rsidR="00F24F72">
        <w:rPr>
          <w:rFonts w:ascii="Arial" w:hAnsi="Arial" w:cs="Arial"/>
          <w:color w:val="403838"/>
          <w:sz w:val="24"/>
          <w:szCs w:val="24"/>
          <w:lang w:val="en"/>
        </w:rPr>
        <w:t xml:space="preserve">document. </w:t>
      </w:r>
      <w:r w:rsidR="00F24F72" w:rsidRPr="00F24F72">
        <w:rPr>
          <w:rFonts w:ascii="Arial" w:hAnsi="Arial" w:cs="Arial"/>
          <w:color w:val="403838"/>
          <w:sz w:val="24"/>
          <w:szCs w:val="24"/>
          <w:lang w:val="en"/>
        </w:rPr>
        <w:t>(FDA, 2013, page 25)</w:t>
      </w:r>
      <w:r w:rsidR="00F24F72">
        <w:rPr>
          <w:rFonts w:ascii="Arial" w:hAnsi="Arial" w:cs="Arial"/>
        </w:rPr>
        <w:t xml:space="preserve">   </w:t>
      </w:r>
    </w:p>
    <w:p w:rsidR="00C00F0A" w:rsidRDefault="00C00F0A" w:rsidP="0058509A">
      <w:pPr>
        <w:rPr>
          <w:rFonts w:ascii="Arial" w:hAnsi="Arial" w:cs="Arial"/>
        </w:rPr>
      </w:pPr>
    </w:p>
    <w:p w:rsidR="00F5598A" w:rsidRDefault="0058509A" w:rsidP="0058509A">
      <w:pPr>
        <w:rPr>
          <w:rStyle w:val="Strong"/>
          <w:rFonts w:ascii="Arial" w:hAnsi="Arial" w:cs="Arial"/>
          <w:b w:val="0"/>
          <w:sz w:val="24"/>
          <w:szCs w:val="24"/>
        </w:rPr>
      </w:pPr>
      <w:r w:rsidRPr="0058509A">
        <w:rPr>
          <w:rFonts w:ascii="Arial" w:hAnsi="Arial" w:cs="Arial"/>
          <w:color w:val="403838"/>
          <w:sz w:val="24"/>
          <w:szCs w:val="24"/>
          <w:u w:val="single"/>
          <w:lang w:val="en"/>
        </w:rPr>
        <w:t>S</w:t>
      </w:r>
      <w:r w:rsidR="0009037C">
        <w:rPr>
          <w:rFonts w:ascii="Arial" w:hAnsi="Arial" w:cs="Arial"/>
          <w:color w:val="403838"/>
          <w:sz w:val="24"/>
          <w:szCs w:val="24"/>
          <w:u w:val="single"/>
          <w:lang w:val="en"/>
        </w:rPr>
        <w:t>ection 7</w:t>
      </w:r>
      <w:r w:rsidR="0009037C" w:rsidRPr="0009037C">
        <w:rPr>
          <w:rFonts w:ascii="Arial" w:hAnsi="Arial" w:cs="Arial"/>
          <w:color w:val="403838"/>
          <w:sz w:val="24"/>
          <w:szCs w:val="24"/>
          <w:u w:val="single"/>
          <w:lang w:val="en"/>
        </w:rPr>
        <w:t xml:space="preserve"> of this FDA document</w:t>
      </w:r>
      <w:r w:rsidR="0009037C">
        <w:rPr>
          <w:rFonts w:ascii="Arial" w:hAnsi="Arial" w:cs="Arial"/>
          <w:color w:val="403838"/>
          <w:sz w:val="24"/>
          <w:szCs w:val="24"/>
          <w:lang w:val="en"/>
        </w:rPr>
        <w:t xml:space="preserve"> is titled, “</w:t>
      </w:r>
      <w:r w:rsidR="00026454">
        <w:rPr>
          <w:rFonts w:ascii="Arial" w:hAnsi="Arial" w:cs="Arial"/>
          <w:color w:val="403838"/>
          <w:sz w:val="24"/>
          <w:szCs w:val="24"/>
          <w:lang w:val="en"/>
        </w:rPr>
        <w:t>References</w:t>
      </w:r>
      <w:r w:rsidR="0009037C">
        <w:rPr>
          <w:rFonts w:ascii="Arial" w:hAnsi="Arial" w:cs="Arial"/>
          <w:color w:val="403838"/>
          <w:sz w:val="24"/>
          <w:szCs w:val="24"/>
          <w:lang w:val="en"/>
        </w:rPr>
        <w:t>,” and</w:t>
      </w:r>
      <w:r w:rsidR="00D946E0">
        <w:rPr>
          <w:rFonts w:ascii="Arial" w:hAnsi="Arial" w:cs="Arial"/>
          <w:color w:val="403838"/>
          <w:sz w:val="24"/>
          <w:szCs w:val="24"/>
          <w:lang w:val="en"/>
        </w:rPr>
        <w:t xml:space="preserve"> lists studies used in this</w:t>
      </w:r>
      <w:r w:rsidR="0009037C">
        <w:rPr>
          <w:rFonts w:ascii="Arial" w:hAnsi="Arial" w:cs="Arial"/>
          <w:color w:val="403838"/>
          <w:sz w:val="24"/>
          <w:szCs w:val="24"/>
          <w:lang w:val="en"/>
        </w:rPr>
        <w:t xml:space="preserve"> FDA document.  </w:t>
      </w:r>
      <w:r w:rsidR="007E6CAC">
        <w:rPr>
          <w:rStyle w:val="Strong"/>
          <w:rFonts w:ascii="Arial" w:hAnsi="Arial" w:cs="Arial"/>
          <w:b w:val="0"/>
          <w:sz w:val="24"/>
          <w:szCs w:val="24"/>
        </w:rPr>
        <w:t>The f</w:t>
      </w:r>
      <w:r w:rsidR="00D946E0">
        <w:rPr>
          <w:rStyle w:val="Strong"/>
          <w:rFonts w:ascii="Arial" w:hAnsi="Arial" w:cs="Arial"/>
          <w:b w:val="0"/>
          <w:sz w:val="24"/>
          <w:szCs w:val="24"/>
        </w:rPr>
        <w:t>ollowing are references which a</w:t>
      </w:r>
      <w:r w:rsidR="007E6CAC">
        <w:rPr>
          <w:rStyle w:val="Strong"/>
          <w:rFonts w:ascii="Arial" w:hAnsi="Arial" w:cs="Arial"/>
          <w:b w:val="0"/>
          <w:sz w:val="24"/>
          <w:szCs w:val="24"/>
        </w:rPr>
        <w:t>re identified</w:t>
      </w:r>
      <w:r w:rsidR="0009037C">
        <w:rPr>
          <w:rStyle w:val="Strong"/>
          <w:rFonts w:ascii="Arial" w:hAnsi="Arial" w:cs="Arial"/>
          <w:b w:val="0"/>
          <w:sz w:val="24"/>
          <w:szCs w:val="24"/>
        </w:rPr>
        <w:t xml:space="preserve"> by the FDA </w:t>
      </w:r>
      <w:r w:rsidR="00EE4441">
        <w:rPr>
          <w:rStyle w:val="Strong"/>
          <w:rFonts w:ascii="Arial" w:hAnsi="Arial" w:cs="Arial"/>
          <w:b w:val="0"/>
          <w:sz w:val="24"/>
          <w:szCs w:val="24"/>
        </w:rPr>
        <w:t>as being releva</w:t>
      </w:r>
      <w:r w:rsidR="007E6CAC">
        <w:rPr>
          <w:rStyle w:val="Strong"/>
          <w:rFonts w:ascii="Arial" w:hAnsi="Arial" w:cs="Arial"/>
          <w:b w:val="0"/>
          <w:sz w:val="24"/>
          <w:szCs w:val="24"/>
        </w:rPr>
        <w:t>nt to “Possibl</w:t>
      </w:r>
      <w:r w:rsidR="00EE4441">
        <w:rPr>
          <w:rStyle w:val="Strong"/>
          <w:rFonts w:ascii="Arial" w:hAnsi="Arial" w:cs="Arial"/>
          <w:b w:val="0"/>
          <w:sz w:val="24"/>
          <w:szCs w:val="24"/>
        </w:rPr>
        <w:t>e Mitochondrial Toxicity</w:t>
      </w:r>
      <w:r w:rsidR="007E6CAC">
        <w:rPr>
          <w:rStyle w:val="Strong"/>
          <w:rFonts w:ascii="Arial" w:hAnsi="Arial" w:cs="Arial"/>
          <w:b w:val="0"/>
          <w:sz w:val="24"/>
          <w:szCs w:val="24"/>
        </w:rPr>
        <w:t>”</w:t>
      </w:r>
      <w:r w:rsidR="00EE4441">
        <w:rPr>
          <w:rStyle w:val="Strong"/>
          <w:rFonts w:ascii="Arial" w:hAnsi="Arial" w:cs="Arial"/>
          <w:b w:val="0"/>
          <w:sz w:val="24"/>
          <w:szCs w:val="24"/>
        </w:rPr>
        <w:t xml:space="preserve"> associated with fluoroquinolones, including Levaquin.</w:t>
      </w:r>
      <w:r w:rsidR="007E6CAC">
        <w:rPr>
          <w:rStyle w:val="Strong"/>
          <w:rFonts w:ascii="Arial" w:hAnsi="Arial" w:cs="Arial"/>
          <w:b w:val="0"/>
          <w:sz w:val="24"/>
          <w:szCs w:val="24"/>
        </w:rPr>
        <w:t xml:space="preserve"> </w:t>
      </w:r>
    </w:p>
    <w:p w:rsidR="000E41D6" w:rsidRDefault="000E41D6" w:rsidP="00E83F28">
      <w:pPr>
        <w:pStyle w:val="ListParagraph"/>
        <w:ind w:left="0"/>
        <w:rPr>
          <w:rStyle w:val="Strong"/>
          <w:rFonts w:ascii="Arial" w:hAnsi="Arial" w:cs="Arial"/>
          <w:b w:val="0"/>
          <w:sz w:val="24"/>
          <w:szCs w:val="24"/>
        </w:rPr>
      </w:pPr>
    </w:p>
    <w:p w:rsidR="00237400" w:rsidRPr="00F24F72" w:rsidRDefault="000E41D6" w:rsidP="00C00F0A">
      <w:pPr>
        <w:ind w:left="720"/>
        <w:rPr>
          <w:rStyle w:val="Strong"/>
          <w:rFonts w:ascii="Arial" w:hAnsi="Arial" w:cs="Arial"/>
          <w:b w:val="0"/>
          <w:sz w:val="24"/>
          <w:szCs w:val="24"/>
        </w:rPr>
      </w:pPr>
      <w:r w:rsidRPr="00F24F72">
        <w:rPr>
          <w:rStyle w:val="Strong"/>
          <w:rFonts w:ascii="Arial" w:hAnsi="Arial" w:cs="Arial"/>
          <w:b w:val="0"/>
          <w:sz w:val="24"/>
          <w:szCs w:val="24"/>
        </w:rPr>
        <w:t xml:space="preserve">REFERENCES </w:t>
      </w:r>
      <w:r w:rsidR="000D3A0A">
        <w:rPr>
          <w:rStyle w:val="Strong"/>
          <w:rFonts w:ascii="Arial" w:hAnsi="Arial" w:cs="Arial"/>
          <w:b w:val="0"/>
          <w:sz w:val="24"/>
          <w:szCs w:val="24"/>
        </w:rPr>
        <w:t xml:space="preserve">(corresponds in order with references 4-20 on the original FDA document) </w:t>
      </w:r>
    </w:p>
    <w:p w:rsidR="00237400" w:rsidRPr="003657E4" w:rsidRDefault="000D3A0A" w:rsidP="000D3A0A">
      <w:pPr>
        <w:ind w:left="720"/>
        <w:rPr>
          <w:rStyle w:val="Strong"/>
          <w:rFonts w:ascii="Arial" w:hAnsi="Arial" w:cs="Arial"/>
          <w:b w:val="0"/>
          <w:sz w:val="24"/>
          <w:szCs w:val="24"/>
        </w:rPr>
      </w:pPr>
      <w:r>
        <w:rPr>
          <w:rStyle w:val="Strong"/>
          <w:rFonts w:ascii="Arial" w:hAnsi="Arial" w:cs="Arial"/>
          <w:b w:val="0"/>
          <w:sz w:val="24"/>
          <w:szCs w:val="24"/>
        </w:rPr>
        <w:t>1.</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Rawi</w:t>
      </w:r>
      <w:proofErr w:type="spellEnd"/>
      <w:r w:rsidR="000E41D6" w:rsidRPr="003657E4">
        <w:rPr>
          <w:rStyle w:val="Strong"/>
          <w:rFonts w:ascii="Arial" w:hAnsi="Arial" w:cs="Arial"/>
          <w:b w:val="0"/>
          <w:sz w:val="24"/>
          <w:szCs w:val="24"/>
        </w:rPr>
        <w:t xml:space="preserve"> SM, </w:t>
      </w:r>
      <w:proofErr w:type="spellStart"/>
      <w:r w:rsidR="000E41D6" w:rsidRPr="003657E4">
        <w:rPr>
          <w:rStyle w:val="Strong"/>
          <w:rFonts w:ascii="Arial" w:hAnsi="Arial" w:cs="Arial"/>
          <w:b w:val="0"/>
          <w:sz w:val="24"/>
          <w:szCs w:val="24"/>
        </w:rPr>
        <w:t>Mourad</w:t>
      </w:r>
      <w:proofErr w:type="spellEnd"/>
      <w:r w:rsidR="000E41D6" w:rsidRPr="003657E4">
        <w:rPr>
          <w:rStyle w:val="Strong"/>
          <w:rFonts w:ascii="Arial" w:hAnsi="Arial" w:cs="Arial"/>
          <w:b w:val="0"/>
          <w:sz w:val="24"/>
          <w:szCs w:val="24"/>
        </w:rPr>
        <w:t xml:space="preserve"> IM, </w:t>
      </w:r>
      <w:proofErr w:type="spellStart"/>
      <w:r w:rsidR="000E41D6" w:rsidRPr="003657E4">
        <w:rPr>
          <w:rStyle w:val="Strong"/>
          <w:rFonts w:ascii="Arial" w:hAnsi="Arial" w:cs="Arial"/>
          <w:b w:val="0"/>
          <w:sz w:val="24"/>
          <w:szCs w:val="24"/>
        </w:rPr>
        <w:t>Arafa</w:t>
      </w:r>
      <w:proofErr w:type="spellEnd"/>
      <w:r w:rsidR="000E41D6" w:rsidRPr="003657E4">
        <w:rPr>
          <w:rStyle w:val="Strong"/>
          <w:rFonts w:ascii="Arial" w:hAnsi="Arial" w:cs="Arial"/>
          <w:b w:val="0"/>
          <w:sz w:val="24"/>
          <w:szCs w:val="24"/>
        </w:rPr>
        <w:t xml:space="preserve"> NMS, </w:t>
      </w:r>
      <w:proofErr w:type="spellStart"/>
      <w:r w:rsidR="000E41D6" w:rsidRPr="003657E4">
        <w:rPr>
          <w:rStyle w:val="Strong"/>
          <w:rFonts w:ascii="Arial" w:hAnsi="Arial" w:cs="Arial"/>
          <w:b w:val="0"/>
          <w:sz w:val="24"/>
          <w:szCs w:val="24"/>
        </w:rPr>
        <w:t>Alazabi</w:t>
      </w:r>
      <w:proofErr w:type="spellEnd"/>
      <w:r w:rsidR="000E41D6" w:rsidRPr="003657E4">
        <w:rPr>
          <w:rStyle w:val="Strong"/>
          <w:rFonts w:ascii="Arial" w:hAnsi="Arial" w:cs="Arial"/>
          <w:b w:val="0"/>
          <w:sz w:val="24"/>
          <w:szCs w:val="24"/>
        </w:rPr>
        <w:t xml:space="preserve"> NI. </w:t>
      </w:r>
      <w:proofErr w:type="gramStart"/>
      <w:r w:rsidR="000E41D6" w:rsidRPr="003657E4">
        <w:rPr>
          <w:rStyle w:val="Strong"/>
          <w:rFonts w:ascii="Arial" w:hAnsi="Arial" w:cs="Arial"/>
          <w:b w:val="0"/>
          <w:sz w:val="24"/>
          <w:szCs w:val="24"/>
        </w:rPr>
        <w:t xml:space="preserve">Effect of ciprofloxacin and </w:t>
      </w:r>
      <w:proofErr w:type="spellStart"/>
      <w:r w:rsidR="000E41D6" w:rsidRPr="003657E4">
        <w:rPr>
          <w:rStyle w:val="Strong"/>
          <w:rFonts w:ascii="Arial" w:hAnsi="Arial" w:cs="Arial"/>
          <w:b w:val="0"/>
          <w:sz w:val="24"/>
          <w:szCs w:val="24"/>
        </w:rPr>
        <w:t>levofl</w:t>
      </w:r>
      <w:r>
        <w:rPr>
          <w:rStyle w:val="Strong"/>
          <w:rFonts w:ascii="Arial" w:hAnsi="Arial" w:cs="Arial"/>
          <w:b w:val="0"/>
          <w:sz w:val="24"/>
          <w:szCs w:val="24"/>
        </w:rPr>
        <w:t>`</w:t>
      </w:r>
      <w:r w:rsidR="000E41D6" w:rsidRPr="003657E4">
        <w:rPr>
          <w:rStyle w:val="Strong"/>
          <w:rFonts w:ascii="Arial" w:hAnsi="Arial" w:cs="Arial"/>
          <w:b w:val="0"/>
          <w:sz w:val="24"/>
          <w:szCs w:val="24"/>
        </w:rPr>
        <w:t>oxacin</w:t>
      </w:r>
      <w:proofErr w:type="spellEnd"/>
      <w:r w:rsidR="000E41D6" w:rsidRPr="003657E4">
        <w:rPr>
          <w:rStyle w:val="Strong"/>
          <w:rFonts w:ascii="Arial" w:hAnsi="Arial" w:cs="Arial"/>
          <w:b w:val="0"/>
          <w:sz w:val="24"/>
          <w:szCs w:val="24"/>
        </w:rPr>
        <w:t xml:space="preserve"> on some oxidative stress parameters in brain regions of male albino rats.</w:t>
      </w:r>
      <w:proofErr w:type="gram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Afr</w:t>
      </w:r>
      <w:proofErr w:type="spellEnd"/>
      <w:r w:rsidR="000E41D6" w:rsidRPr="003657E4">
        <w:rPr>
          <w:rStyle w:val="Strong"/>
          <w:rFonts w:ascii="Arial" w:hAnsi="Arial" w:cs="Arial"/>
          <w:b w:val="0"/>
          <w:sz w:val="24"/>
          <w:szCs w:val="24"/>
        </w:rPr>
        <w:t xml:space="preserve"> J Pharm </w:t>
      </w:r>
      <w:proofErr w:type="spellStart"/>
      <w:r w:rsidR="000E41D6" w:rsidRPr="003657E4">
        <w:rPr>
          <w:rStyle w:val="Strong"/>
          <w:rFonts w:ascii="Arial" w:hAnsi="Arial" w:cs="Arial"/>
          <w:b w:val="0"/>
          <w:sz w:val="24"/>
          <w:szCs w:val="24"/>
        </w:rPr>
        <w:t>Pharmacol</w:t>
      </w:r>
      <w:proofErr w:type="spellEnd"/>
      <w:r w:rsidR="000E41D6" w:rsidRPr="003657E4">
        <w:rPr>
          <w:rStyle w:val="Strong"/>
          <w:rFonts w:ascii="Arial" w:hAnsi="Arial" w:cs="Arial"/>
          <w:b w:val="0"/>
          <w:sz w:val="24"/>
          <w:szCs w:val="24"/>
        </w:rPr>
        <w:t xml:space="preserve"> 2011</w:t>
      </w:r>
      <w:proofErr w:type="gramStart"/>
      <w:r w:rsidR="000E41D6" w:rsidRPr="003657E4">
        <w:rPr>
          <w:rStyle w:val="Strong"/>
          <w:rFonts w:ascii="Arial" w:hAnsi="Arial" w:cs="Arial"/>
          <w:b w:val="0"/>
          <w:sz w:val="24"/>
          <w:szCs w:val="24"/>
        </w:rPr>
        <w:t>;5</w:t>
      </w:r>
      <w:proofErr w:type="gramEnd"/>
      <w:r w:rsidR="000E41D6" w:rsidRPr="003657E4">
        <w:rPr>
          <w:rStyle w:val="Strong"/>
          <w:rFonts w:ascii="Arial" w:hAnsi="Arial" w:cs="Arial"/>
          <w:b w:val="0"/>
          <w:sz w:val="24"/>
          <w:szCs w:val="24"/>
        </w:rPr>
        <w:t xml:space="preserve">(16):1888-97.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2.</w:t>
      </w:r>
      <w:r>
        <w:rPr>
          <w:rStyle w:val="Strong"/>
          <w:rFonts w:ascii="Arial" w:hAnsi="Arial" w:cs="Arial"/>
          <w:b w:val="0"/>
          <w:sz w:val="24"/>
          <w:szCs w:val="24"/>
        </w:rPr>
        <w:tab/>
      </w:r>
      <w:r w:rsidR="000E41D6" w:rsidRPr="003657E4">
        <w:rPr>
          <w:rStyle w:val="Strong"/>
          <w:rFonts w:ascii="Arial" w:hAnsi="Arial" w:cs="Arial"/>
          <w:b w:val="0"/>
          <w:sz w:val="24"/>
          <w:szCs w:val="24"/>
        </w:rPr>
        <w:t xml:space="preserve">Lawrence JW, Claire DC, </w:t>
      </w:r>
      <w:proofErr w:type="spellStart"/>
      <w:r w:rsidR="000E41D6" w:rsidRPr="003657E4">
        <w:rPr>
          <w:rStyle w:val="Strong"/>
          <w:rFonts w:ascii="Arial" w:hAnsi="Arial" w:cs="Arial"/>
          <w:b w:val="0"/>
          <w:sz w:val="24"/>
          <w:szCs w:val="24"/>
        </w:rPr>
        <w:t>Weissig</w:t>
      </w:r>
      <w:proofErr w:type="spellEnd"/>
      <w:r w:rsidR="000E41D6" w:rsidRPr="003657E4">
        <w:rPr>
          <w:rStyle w:val="Strong"/>
          <w:rFonts w:ascii="Arial" w:hAnsi="Arial" w:cs="Arial"/>
          <w:b w:val="0"/>
          <w:sz w:val="24"/>
          <w:szCs w:val="24"/>
        </w:rPr>
        <w:t xml:space="preserve"> V, Rowe TC. </w:t>
      </w:r>
      <w:proofErr w:type="gramStart"/>
      <w:r w:rsidR="000E41D6" w:rsidRPr="003657E4">
        <w:rPr>
          <w:rStyle w:val="Strong"/>
          <w:rFonts w:ascii="Arial" w:hAnsi="Arial" w:cs="Arial"/>
          <w:b w:val="0"/>
          <w:sz w:val="24"/>
          <w:szCs w:val="24"/>
        </w:rPr>
        <w:t>Delayed cytotoxicity and cleavage of mitochondrial DNA in ciprofloxacin-treated mammalian cells.</w:t>
      </w:r>
      <w:proofErr w:type="gram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Mol</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Pharmacol</w:t>
      </w:r>
      <w:proofErr w:type="spellEnd"/>
      <w:r w:rsidR="000E41D6" w:rsidRPr="003657E4">
        <w:rPr>
          <w:rStyle w:val="Strong"/>
          <w:rFonts w:ascii="Arial" w:hAnsi="Arial" w:cs="Arial"/>
          <w:b w:val="0"/>
          <w:sz w:val="24"/>
          <w:szCs w:val="24"/>
        </w:rPr>
        <w:t xml:space="preserve"> 1996</w:t>
      </w:r>
      <w:proofErr w:type="gramStart"/>
      <w:r w:rsidR="000E41D6" w:rsidRPr="003657E4">
        <w:rPr>
          <w:rStyle w:val="Strong"/>
          <w:rFonts w:ascii="Arial" w:hAnsi="Arial" w:cs="Arial"/>
          <w:b w:val="0"/>
          <w:sz w:val="24"/>
          <w:szCs w:val="24"/>
        </w:rPr>
        <w:t>;50</w:t>
      </w:r>
      <w:proofErr w:type="gramEnd"/>
      <w:r w:rsidR="000E41D6" w:rsidRPr="003657E4">
        <w:rPr>
          <w:rStyle w:val="Strong"/>
          <w:rFonts w:ascii="Arial" w:hAnsi="Arial" w:cs="Arial"/>
          <w:b w:val="0"/>
          <w:sz w:val="24"/>
          <w:szCs w:val="24"/>
        </w:rPr>
        <w:t xml:space="preserve">(5):1178-88.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3.</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Nadanaciva</w:t>
      </w:r>
      <w:proofErr w:type="spellEnd"/>
      <w:r w:rsidR="000E41D6" w:rsidRPr="003657E4">
        <w:rPr>
          <w:rStyle w:val="Strong"/>
          <w:rFonts w:ascii="Arial" w:hAnsi="Arial" w:cs="Arial"/>
          <w:b w:val="0"/>
          <w:sz w:val="24"/>
          <w:szCs w:val="24"/>
        </w:rPr>
        <w:t xml:space="preserve"> S, Will Y. </w:t>
      </w:r>
      <w:proofErr w:type="gramStart"/>
      <w:r w:rsidR="000E41D6" w:rsidRPr="003657E4">
        <w:rPr>
          <w:rStyle w:val="Strong"/>
          <w:rFonts w:ascii="Arial" w:hAnsi="Arial" w:cs="Arial"/>
          <w:b w:val="0"/>
          <w:sz w:val="24"/>
          <w:szCs w:val="24"/>
        </w:rPr>
        <w:t>New insights in drug-induced mitochondrial toxicity.</w:t>
      </w:r>
      <w:proofErr w:type="gram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Curr</w:t>
      </w:r>
      <w:proofErr w:type="spellEnd"/>
      <w:r w:rsidR="000E41D6" w:rsidRPr="003657E4">
        <w:rPr>
          <w:rStyle w:val="Strong"/>
          <w:rFonts w:ascii="Arial" w:hAnsi="Arial" w:cs="Arial"/>
          <w:b w:val="0"/>
          <w:sz w:val="24"/>
          <w:szCs w:val="24"/>
        </w:rPr>
        <w:t xml:space="preserve"> Pharm Des 2011</w:t>
      </w:r>
      <w:proofErr w:type="gramStart"/>
      <w:r w:rsidR="000E41D6" w:rsidRPr="003657E4">
        <w:rPr>
          <w:rStyle w:val="Strong"/>
          <w:rFonts w:ascii="Arial" w:hAnsi="Arial" w:cs="Arial"/>
          <w:b w:val="0"/>
          <w:sz w:val="24"/>
          <w:szCs w:val="24"/>
        </w:rPr>
        <w:t>;17:2100</w:t>
      </w:r>
      <w:proofErr w:type="gramEnd"/>
      <w:r w:rsidR="000E41D6" w:rsidRPr="003657E4">
        <w:rPr>
          <w:rStyle w:val="Strong"/>
          <w:rFonts w:ascii="Arial" w:hAnsi="Arial" w:cs="Arial"/>
          <w:b w:val="0"/>
          <w:sz w:val="24"/>
          <w:szCs w:val="24"/>
        </w:rPr>
        <w:t xml:space="preserve">-12.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4.</w:t>
      </w:r>
      <w:r>
        <w:rPr>
          <w:rStyle w:val="Strong"/>
          <w:rFonts w:ascii="Arial" w:hAnsi="Arial" w:cs="Arial"/>
          <w:b w:val="0"/>
          <w:sz w:val="24"/>
          <w:szCs w:val="24"/>
        </w:rPr>
        <w:tab/>
      </w:r>
      <w:r w:rsidR="000E41D6" w:rsidRPr="003657E4">
        <w:rPr>
          <w:rStyle w:val="Strong"/>
          <w:rFonts w:ascii="Arial" w:hAnsi="Arial" w:cs="Arial"/>
          <w:b w:val="0"/>
          <w:sz w:val="24"/>
          <w:szCs w:val="24"/>
        </w:rPr>
        <w:t xml:space="preserve">Fang C, </w:t>
      </w:r>
      <w:proofErr w:type="spellStart"/>
      <w:r w:rsidR="000E41D6" w:rsidRPr="003657E4">
        <w:rPr>
          <w:rStyle w:val="Strong"/>
          <w:rFonts w:ascii="Arial" w:hAnsi="Arial" w:cs="Arial"/>
          <w:b w:val="0"/>
          <w:sz w:val="24"/>
          <w:szCs w:val="24"/>
        </w:rPr>
        <w:t>Bourdette</w:t>
      </w:r>
      <w:proofErr w:type="spellEnd"/>
      <w:r w:rsidR="000E41D6" w:rsidRPr="003657E4">
        <w:rPr>
          <w:rStyle w:val="Strong"/>
          <w:rFonts w:ascii="Arial" w:hAnsi="Arial" w:cs="Arial"/>
          <w:b w:val="0"/>
          <w:sz w:val="24"/>
          <w:szCs w:val="24"/>
        </w:rPr>
        <w:t xml:space="preserve"> D, Banker G. Oxidative stress inhibits axonal transport: implications for neurodegenerative diseases. </w:t>
      </w:r>
      <w:proofErr w:type="spellStart"/>
      <w:r w:rsidR="000E41D6" w:rsidRPr="003657E4">
        <w:rPr>
          <w:rStyle w:val="Strong"/>
          <w:rFonts w:ascii="Arial" w:hAnsi="Arial" w:cs="Arial"/>
          <w:b w:val="0"/>
          <w:sz w:val="24"/>
          <w:szCs w:val="24"/>
        </w:rPr>
        <w:t>Mol</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Neurodegener</w:t>
      </w:r>
      <w:proofErr w:type="spellEnd"/>
      <w:r w:rsidR="000E41D6" w:rsidRPr="003657E4">
        <w:rPr>
          <w:rStyle w:val="Strong"/>
          <w:rFonts w:ascii="Arial" w:hAnsi="Arial" w:cs="Arial"/>
          <w:b w:val="0"/>
          <w:sz w:val="24"/>
          <w:szCs w:val="24"/>
        </w:rPr>
        <w:t xml:space="preserve"> 2012</w:t>
      </w:r>
      <w:proofErr w:type="gramStart"/>
      <w:r w:rsidR="000E41D6" w:rsidRPr="003657E4">
        <w:rPr>
          <w:rStyle w:val="Strong"/>
          <w:rFonts w:ascii="Arial" w:hAnsi="Arial" w:cs="Arial"/>
          <w:b w:val="0"/>
          <w:sz w:val="24"/>
          <w:szCs w:val="24"/>
        </w:rPr>
        <w:t>;7:29</w:t>
      </w:r>
      <w:proofErr w:type="gramEnd"/>
      <w:r w:rsidR="000E41D6" w:rsidRPr="003657E4">
        <w:rPr>
          <w:rStyle w:val="Strong"/>
          <w:rFonts w:ascii="Arial" w:hAnsi="Arial" w:cs="Arial"/>
          <w:b w:val="0"/>
          <w:sz w:val="24"/>
          <w:szCs w:val="24"/>
        </w:rPr>
        <w:t xml:space="preserve">.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 xml:space="preserve">5. </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Hulgan</w:t>
      </w:r>
      <w:proofErr w:type="spellEnd"/>
      <w:r w:rsidR="000E41D6" w:rsidRPr="003657E4">
        <w:rPr>
          <w:rStyle w:val="Strong"/>
          <w:rFonts w:ascii="Arial" w:hAnsi="Arial" w:cs="Arial"/>
          <w:b w:val="0"/>
          <w:sz w:val="24"/>
          <w:szCs w:val="24"/>
        </w:rPr>
        <w:t xml:space="preserve"> T, Haas DW, Haines JL, et al. Mitochondrial </w:t>
      </w:r>
      <w:proofErr w:type="spellStart"/>
      <w:r w:rsidR="000E41D6" w:rsidRPr="003657E4">
        <w:rPr>
          <w:rStyle w:val="Strong"/>
          <w:rFonts w:ascii="Arial" w:hAnsi="Arial" w:cs="Arial"/>
          <w:b w:val="0"/>
          <w:sz w:val="24"/>
          <w:szCs w:val="24"/>
        </w:rPr>
        <w:t>haplogroups</w:t>
      </w:r>
      <w:proofErr w:type="spellEnd"/>
      <w:r w:rsidR="000E41D6" w:rsidRPr="003657E4">
        <w:rPr>
          <w:rStyle w:val="Strong"/>
          <w:rFonts w:ascii="Arial" w:hAnsi="Arial" w:cs="Arial"/>
          <w:b w:val="0"/>
          <w:sz w:val="24"/>
          <w:szCs w:val="24"/>
        </w:rPr>
        <w:t xml:space="preserve"> and peripheral neuropathy during antiretroviral therapy: an adult AIDS clinical trials group study. AIDS 2005</w:t>
      </w:r>
      <w:proofErr w:type="gramStart"/>
      <w:r w:rsidR="000E41D6" w:rsidRPr="003657E4">
        <w:rPr>
          <w:rStyle w:val="Strong"/>
          <w:rFonts w:ascii="Arial" w:hAnsi="Arial" w:cs="Arial"/>
          <w:b w:val="0"/>
          <w:sz w:val="24"/>
          <w:szCs w:val="24"/>
        </w:rPr>
        <w:t>;19</w:t>
      </w:r>
      <w:proofErr w:type="gramEnd"/>
      <w:r w:rsidR="000E41D6" w:rsidRPr="003657E4">
        <w:rPr>
          <w:rStyle w:val="Strong"/>
          <w:rFonts w:ascii="Arial" w:hAnsi="Arial" w:cs="Arial"/>
          <w:b w:val="0"/>
          <w:sz w:val="24"/>
          <w:szCs w:val="24"/>
        </w:rPr>
        <w:t xml:space="preserve">(13):1341-9. </w:t>
      </w:r>
    </w:p>
    <w:p w:rsidR="00237400" w:rsidRPr="000D3A0A" w:rsidRDefault="000D3A0A" w:rsidP="000D3A0A">
      <w:pPr>
        <w:ind w:left="720"/>
        <w:rPr>
          <w:rStyle w:val="Strong"/>
          <w:rFonts w:ascii="Arial" w:hAnsi="Arial" w:cs="Arial"/>
          <w:b w:val="0"/>
          <w:sz w:val="24"/>
          <w:szCs w:val="24"/>
        </w:rPr>
      </w:pPr>
      <w:r>
        <w:rPr>
          <w:rStyle w:val="Strong"/>
          <w:rFonts w:ascii="Arial" w:hAnsi="Arial" w:cs="Arial"/>
          <w:b w:val="0"/>
          <w:sz w:val="24"/>
          <w:szCs w:val="24"/>
        </w:rPr>
        <w:t>6.</w:t>
      </w:r>
      <w:r>
        <w:rPr>
          <w:rStyle w:val="Strong"/>
          <w:rFonts w:ascii="Arial" w:hAnsi="Arial" w:cs="Arial"/>
          <w:b w:val="0"/>
          <w:sz w:val="24"/>
          <w:szCs w:val="24"/>
        </w:rPr>
        <w:tab/>
      </w:r>
      <w:proofErr w:type="spellStart"/>
      <w:r w:rsidR="000E41D6" w:rsidRPr="000D3A0A">
        <w:rPr>
          <w:rStyle w:val="Strong"/>
          <w:rFonts w:ascii="Arial" w:hAnsi="Arial" w:cs="Arial"/>
          <w:b w:val="0"/>
          <w:sz w:val="24"/>
          <w:szCs w:val="24"/>
        </w:rPr>
        <w:t>Kondapi</w:t>
      </w:r>
      <w:proofErr w:type="spellEnd"/>
      <w:r w:rsidR="000E41D6" w:rsidRPr="000D3A0A">
        <w:rPr>
          <w:rStyle w:val="Strong"/>
          <w:rFonts w:ascii="Arial" w:hAnsi="Arial" w:cs="Arial"/>
          <w:b w:val="0"/>
          <w:sz w:val="24"/>
          <w:szCs w:val="24"/>
        </w:rPr>
        <w:t xml:space="preserve"> AK, </w:t>
      </w:r>
      <w:proofErr w:type="spellStart"/>
      <w:r w:rsidR="000E41D6" w:rsidRPr="000D3A0A">
        <w:rPr>
          <w:rStyle w:val="Strong"/>
          <w:rFonts w:ascii="Arial" w:hAnsi="Arial" w:cs="Arial"/>
          <w:b w:val="0"/>
          <w:sz w:val="24"/>
          <w:szCs w:val="24"/>
        </w:rPr>
        <w:t>Mulpuri</w:t>
      </w:r>
      <w:proofErr w:type="spellEnd"/>
      <w:r w:rsidR="000E41D6" w:rsidRPr="000D3A0A">
        <w:rPr>
          <w:rStyle w:val="Strong"/>
          <w:rFonts w:ascii="Arial" w:hAnsi="Arial" w:cs="Arial"/>
          <w:b w:val="0"/>
          <w:sz w:val="24"/>
          <w:szCs w:val="24"/>
        </w:rPr>
        <w:t xml:space="preserve"> N, </w:t>
      </w:r>
      <w:proofErr w:type="spellStart"/>
      <w:r w:rsidR="000E41D6" w:rsidRPr="000D3A0A">
        <w:rPr>
          <w:rStyle w:val="Strong"/>
          <w:rFonts w:ascii="Arial" w:hAnsi="Arial" w:cs="Arial"/>
          <w:b w:val="0"/>
          <w:sz w:val="24"/>
          <w:szCs w:val="24"/>
        </w:rPr>
        <w:t>Mandraju</w:t>
      </w:r>
      <w:proofErr w:type="spellEnd"/>
      <w:r w:rsidR="000E41D6" w:rsidRPr="000D3A0A">
        <w:rPr>
          <w:rStyle w:val="Strong"/>
          <w:rFonts w:ascii="Arial" w:hAnsi="Arial" w:cs="Arial"/>
          <w:b w:val="0"/>
          <w:sz w:val="24"/>
          <w:szCs w:val="24"/>
        </w:rPr>
        <w:t xml:space="preserve"> RK, et al. Analysis of age dependent changes of topoisomerase II α and β in rate brain. </w:t>
      </w:r>
      <w:proofErr w:type="spellStart"/>
      <w:r w:rsidR="000E41D6" w:rsidRPr="000D3A0A">
        <w:rPr>
          <w:rStyle w:val="Strong"/>
          <w:rFonts w:ascii="Arial" w:hAnsi="Arial" w:cs="Arial"/>
          <w:b w:val="0"/>
          <w:sz w:val="24"/>
          <w:szCs w:val="24"/>
        </w:rPr>
        <w:t>Int</w:t>
      </w:r>
      <w:proofErr w:type="spellEnd"/>
      <w:r w:rsidR="000E41D6" w:rsidRPr="000D3A0A">
        <w:rPr>
          <w:rStyle w:val="Strong"/>
          <w:rFonts w:ascii="Arial" w:hAnsi="Arial" w:cs="Arial"/>
          <w:b w:val="0"/>
          <w:sz w:val="24"/>
          <w:szCs w:val="24"/>
        </w:rPr>
        <w:t xml:space="preserve"> J </w:t>
      </w:r>
      <w:proofErr w:type="spellStart"/>
      <w:r w:rsidR="000E41D6" w:rsidRPr="000D3A0A">
        <w:rPr>
          <w:rStyle w:val="Strong"/>
          <w:rFonts w:ascii="Arial" w:hAnsi="Arial" w:cs="Arial"/>
          <w:b w:val="0"/>
          <w:sz w:val="24"/>
          <w:szCs w:val="24"/>
        </w:rPr>
        <w:t>Devl</w:t>
      </w:r>
      <w:proofErr w:type="spellEnd"/>
      <w:r w:rsidR="000E41D6" w:rsidRPr="000D3A0A">
        <w:rPr>
          <w:rStyle w:val="Strong"/>
          <w:rFonts w:ascii="Arial" w:hAnsi="Arial" w:cs="Arial"/>
          <w:b w:val="0"/>
          <w:sz w:val="24"/>
          <w:szCs w:val="24"/>
        </w:rPr>
        <w:t xml:space="preserve"> Neuroscience 2004</w:t>
      </w:r>
      <w:proofErr w:type="gramStart"/>
      <w:r w:rsidR="000E41D6" w:rsidRPr="000D3A0A">
        <w:rPr>
          <w:rStyle w:val="Strong"/>
          <w:rFonts w:ascii="Arial" w:hAnsi="Arial" w:cs="Arial"/>
          <w:b w:val="0"/>
          <w:sz w:val="24"/>
          <w:szCs w:val="24"/>
        </w:rPr>
        <w:t>;22:19</w:t>
      </w:r>
      <w:proofErr w:type="gramEnd"/>
      <w:r w:rsidR="000E41D6" w:rsidRPr="000D3A0A">
        <w:rPr>
          <w:rStyle w:val="Strong"/>
          <w:rFonts w:ascii="Arial" w:hAnsi="Arial" w:cs="Arial"/>
          <w:b w:val="0"/>
          <w:sz w:val="24"/>
          <w:szCs w:val="24"/>
        </w:rPr>
        <w:t xml:space="preserve">-30.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 xml:space="preserve">7.  </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Champoux</w:t>
      </w:r>
      <w:proofErr w:type="spellEnd"/>
      <w:r w:rsidR="000E41D6" w:rsidRPr="003657E4">
        <w:rPr>
          <w:rStyle w:val="Strong"/>
          <w:rFonts w:ascii="Arial" w:hAnsi="Arial" w:cs="Arial"/>
          <w:b w:val="0"/>
          <w:sz w:val="24"/>
          <w:szCs w:val="24"/>
        </w:rPr>
        <w:t xml:space="preserve"> JJ. DNA topoisomerases: structure, function, and mechanism. Ann Rev </w:t>
      </w:r>
      <w:proofErr w:type="spellStart"/>
      <w:r w:rsidR="000E41D6" w:rsidRPr="003657E4">
        <w:rPr>
          <w:rStyle w:val="Strong"/>
          <w:rFonts w:ascii="Arial" w:hAnsi="Arial" w:cs="Arial"/>
          <w:b w:val="0"/>
          <w:sz w:val="24"/>
          <w:szCs w:val="24"/>
        </w:rPr>
        <w:t>Biochem</w:t>
      </w:r>
      <w:proofErr w:type="spellEnd"/>
      <w:r w:rsidR="000E41D6" w:rsidRPr="003657E4">
        <w:rPr>
          <w:rStyle w:val="Strong"/>
          <w:rFonts w:ascii="Arial" w:hAnsi="Arial" w:cs="Arial"/>
          <w:b w:val="0"/>
          <w:sz w:val="24"/>
          <w:szCs w:val="24"/>
        </w:rPr>
        <w:t xml:space="preserve"> 2001</w:t>
      </w:r>
      <w:proofErr w:type="gramStart"/>
      <w:r w:rsidR="000E41D6" w:rsidRPr="003657E4">
        <w:rPr>
          <w:rStyle w:val="Strong"/>
          <w:rFonts w:ascii="Arial" w:hAnsi="Arial" w:cs="Arial"/>
          <w:b w:val="0"/>
          <w:sz w:val="24"/>
          <w:szCs w:val="24"/>
        </w:rPr>
        <w:t>;70:369</w:t>
      </w:r>
      <w:proofErr w:type="gramEnd"/>
      <w:r w:rsidR="000E41D6" w:rsidRPr="003657E4">
        <w:rPr>
          <w:rStyle w:val="Strong"/>
          <w:rFonts w:ascii="Arial" w:hAnsi="Arial" w:cs="Arial"/>
          <w:b w:val="0"/>
          <w:sz w:val="24"/>
          <w:szCs w:val="24"/>
        </w:rPr>
        <w:t xml:space="preserve">-413.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 xml:space="preserve">8.  </w:t>
      </w:r>
      <w:r>
        <w:rPr>
          <w:rStyle w:val="Strong"/>
          <w:rFonts w:ascii="Arial" w:hAnsi="Arial" w:cs="Arial"/>
          <w:b w:val="0"/>
          <w:sz w:val="24"/>
          <w:szCs w:val="24"/>
        </w:rPr>
        <w:tab/>
      </w:r>
      <w:r w:rsidR="000E41D6" w:rsidRPr="003657E4">
        <w:rPr>
          <w:rStyle w:val="Strong"/>
          <w:rFonts w:ascii="Arial" w:hAnsi="Arial" w:cs="Arial"/>
          <w:b w:val="0"/>
          <w:sz w:val="24"/>
          <w:szCs w:val="24"/>
        </w:rPr>
        <w:t xml:space="preserve">Tiwari VK, Burger L, </w:t>
      </w:r>
      <w:proofErr w:type="spellStart"/>
      <w:r w:rsidR="000E41D6" w:rsidRPr="003657E4">
        <w:rPr>
          <w:rStyle w:val="Strong"/>
          <w:rFonts w:ascii="Arial" w:hAnsi="Arial" w:cs="Arial"/>
          <w:b w:val="0"/>
          <w:sz w:val="24"/>
          <w:szCs w:val="24"/>
        </w:rPr>
        <w:t>Nikoletopoulou</w:t>
      </w:r>
      <w:proofErr w:type="spellEnd"/>
      <w:r w:rsidR="000E41D6" w:rsidRPr="003657E4">
        <w:rPr>
          <w:rStyle w:val="Strong"/>
          <w:rFonts w:ascii="Arial" w:hAnsi="Arial" w:cs="Arial"/>
          <w:b w:val="0"/>
          <w:sz w:val="24"/>
          <w:szCs w:val="24"/>
        </w:rPr>
        <w:t xml:space="preserve"> V, et al. Target genes of topoisomerase IIβ regulate neuronal survival and are defined by their chromatin state. </w:t>
      </w:r>
      <w:proofErr w:type="spellStart"/>
      <w:r w:rsidR="000E41D6" w:rsidRPr="003657E4">
        <w:rPr>
          <w:rStyle w:val="Strong"/>
          <w:rFonts w:ascii="Arial" w:hAnsi="Arial" w:cs="Arial"/>
          <w:b w:val="0"/>
          <w:sz w:val="24"/>
          <w:szCs w:val="24"/>
        </w:rPr>
        <w:t>Proc</w:t>
      </w:r>
      <w:proofErr w:type="spellEnd"/>
      <w:r w:rsidR="000E41D6" w:rsidRPr="003657E4">
        <w:rPr>
          <w:rStyle w:val="Strong"/>
          <w:rFonts w:ascii="Arial" w:hAnsi="Arial" w:cs="Arial"/>
          <w:b w:val="0"/>
          <w:sz w:val="24"/>
          <w:szCs w:val="24"/>
        </w:rPr>
        <w:t xml:space="preserve"> Natl </w:t>
      </w:r>
      <w:proofErr w:type="spellStart"/>
      <w:r w:rsidR="000E41D6" w:rsidRPr="003657E4">
        <w:rPr>
          <w:rStyle w:val="Strong"/>
          <w:rFonts w:ascii="Arial" w:hAnsi="Arial" w:cs="Arial"/>
          <w:b w:val="0"/>
          <w:sz w:val="24"/>
          <w:szCs w:val="24"/>
        </w:rPr>
        <w:t>Acad</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Sci</w:t>
      </w:r>
      <w:proofErr w:type="spellEnd"/>
      <w:r w:rsidR="000E41D6" w:rsidRPr="003657E4">
        <w:rPr>
          <w:rStyle w:val="Strong"/>
          <w:rFonts w:ascii="Arial" w:hAnsi="Arial" w:cs="Arial"/>
          <w:b w:val="0"/>
          <w:sz w:val="24"/>
          <w:szCs w:val="24"/>
        </w:rPr>
        <w:t xml:space="preserve"> USA 2012</w:t>
      </w:r>
      <w:proofErr w:type="gramStart"/>
      <w:r w:rsidR="000E41D6" w:rsidRPr="003657E4">
        <w:rPr>
          <w:rStyle w:val="Strong"/>
          <w:rFonts w:ascii="Arial" w:hAnsi="Arial" w:cs="Arial"/>
          <w:b w:val="0"/>
          <w:sz w:val="24"/>
          <w:szCs w:val="24"/>
        </w:rPr>
        <w:t>;109</w:t>
      </w:r>
      <w:proofErr w:type="gramEnd"/>
      <w:r w:rsidR="000E41D6" w:rsidRPr="003657E4">
        <w:rPr>
          <w:rStyle w:val="Strong"/>
          <w:rFonts w:ascii="Arial" w:hAnsi="Arial" w:cs="Arial"/>
          <w:b w:val="0"/>
          <w:sz w:val="24"/>
          <w:szCs w:val="24"/>
        </w:rPr>
        <w:t xml:space="preserve">(16):E934-43.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9.</w:t>
      </w:r>
      <w:r>
        <w:rPr>
          <w:rStyle w:val="Strong"/>
          <w:rFonts w:ascii="Arial" w:hAnsi="Arial" w:cs="Arial"/>
          <w:b w:val="0"/>
          <w:sz w:val="24"/>
          <w:szCs w:val="24"/>
        </w:rPr>
        <w:tab/>
      </w:r>
      <w:r w:rsidR="000E41D6" w:rsidRPr="003657E4">
        <w:rPr>
          <w:rStyle w:val="Strong"/>
          <w:rFonts w:ascii="Arial" w:hAnsi="Arial" w:cs="Arial"/>
          <w:b w:val="0"/>
          <w:sz w:val="24"/>
          <w:szCs w:val="24"/>
        </w:rPr>
        <w:t xml:space="preserve">Leung GPH. Iatrogenic </w:t>
      </w:r>
      <w:proofErr w:type="spellStart"/>
      <w:r w:rsidR="000E41D6" w:rsidRPr="003657E4">
        <w:rPr>
          <w:rStyle w:val="Strong"/>
          <w:rFonts w:ascii="Arial" w:hAnsi="Arial" w:cs="Arial"/>
          <w:b w:val="0"/>
          <w:sz w:val="24"/>
          <w:szCs w:val="24"/>
        </w:rPr>
        <w:t>mitochondriopathies</w:t>
      </w:r>
      <w:proofErr w:type="spellEnd"/>
      <w:r w:rsidR="000E41D6" w:rsidRPr="003657E4">
        <w:rPr>
          <w:rStyle w:val="Strong"/>
          <w:rFonts w:ascii="Arial" w:hAnsi="Arial" w:cs="Arial"/>
          <w:b w:val="0"/>
          <w:sz w:val="24"/>
          <w:szCs w:val="24"/>
        </w:rPr>
        <w:t xml:space="preserve">: a recent lesson from nucleoside/nucleotide reverse transcriptase inhibitors. </w:t>
      </w:r>
      <w:proofErr w:type="spellStart"/>
      <w:r w:rsidR="000E41D6" w:rsidRPr="003657E4">
        <w:rPr>
          <w:rStyle w:val="Strong"/>
          <w:rFonts w:ascii="Arial" w:hAnsi="Arial" w:cs="Arial"/>
          <w:b w:val="0"/>
          <w:sz w:val="24"/>
          <w:szCs w:val="24"/>
        </w:rPr>
        <w:t>Adv</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Exp</w:t>
      </w:r>
      <w:proofErr w:type="spellEnd"/>
      <w:r w:rsidR="000E41D6" w:rsidRPr="003657E4">
        <w:rPr>
          <w:rStyle w:val="Strong"/>
          <w:rFonts w:ascii="Arial" w:hAnsi="Arial" w:cs="Arial"/>
          <w:b w:val="0"/>
          <w:sz w:val="24"/>
          <w:szCs w:val="24"/>
        </w:rPr>
        <w:t xml:space="preserve"> Med </w:t>
      </w:r>
      <w:proofErr w:type="spellStart"/>
      <w:r w:rsidR="000E41D6" w:rsidRPr="003657E4">
        <w:rPr>
          <w:rStyle w:val="Strong"/>
          <w:rFonts w:ascii="Arial" w:hAnsi="Arial" w:cs="Arial"/>
          <w:b w:val="0"/>
          <w:sz w:val="24"/>
          <w:szCs w:val="24"/>
        </w:rPr>
        <w:t>Biol</w:t>
      </w:r>
      <w:proofErr w:type="spellEnd"/>
      <w:r w:rsidR="000E41D6" w:rsidRPr="003657E4">
        <w:rPr>
          <w:rStyle w:val="Strong"/>
          <w:rFonts w:ascii="Arial" w:hAnsi="Arial" w:cs="Arial"/>
          <w:b w:val="0"/>
          <w:sz w:val="24"/>
          <w:szCs w:val="24"/>
        </w:rPr>
        <w:t xml:space="preserve"> 2012</w:t>
      </w:r>
      <w:proofErr w:type="gramStart"/>
      <w:r w:rsidR="000E41D6" w:rsidRPr="003657E4">
        <w:rPr>
          <w:rStyle w:val="Strong"/>
          <w:rFonts w:ascii="Arial" w:hAnsi="Arial" w:cs="Arial"/>
          <w:b w:val="0"/>
          <w:sz w:val="24"/>
          <w:szCs w:val="24"/>
        </w:rPr>
        <w:t>;942:347</w:t>
      </w:r>
      <w:proofErr w:type="gramEnd"/>
      <w:r w:rsidR="000E41D6" w:rsidRPr="003657E4">
        <w:rPr>
          <w:rStyle w:val="Strong"/>
          <w:rFonts w:ascii="Arial" w:hAnsi="Arial" w:cs="Arial"/>
          <w:b w:val="0"/>
          <w:sz w:val="24"/>
          <w:szCs w:val="24"/>
        </w:rPr>
        <w:t xml:space="preserve">-69.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lastRenderedPageBreak/>
        <w:t>10.</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Lenaz</w:t>
      </w:r>
      <w:proofErr w:type="spellEnd"/>
      <w:r w:rsidR="000E41D6" w:rsidRPr="003657E4">
        <w:rPr>
          <w:rStyle w:val="Strong"/>
          <w:rFonts w:ascii="Arial" w:hAnsi="Arial" w:cs="Arial"/>
          <w:b w:val="0"/>
          <w:sz w:val="24"/>
          <w:szCs w:val="24"/>
        </w:rPr>
        <w:t xml:space="preserve"> G, Bovina C, </w:t>
      </w:r>
      <w:proofErr w:type="spellStart"/>
      <w:r w:rsidR="000E41D6" w:rsidRPr="003657E4">
        <w:rPr>
          <w:rStyle w:val="Strong"/>
          <w:rFonts w:ascii="Arial" w:hAnsi="Arial" w:cs="Arial"/>
          <w:b w:val="0"/>
          <w:sz w:val="24"/>
          <w:szCs w:val="24"/>
        </w:rPr>
        <w:t>Formiggini</w:t>
      </w:r>
      <w:proofErr w:type="spellEnd"/>
      <w:r w:rsidR="000E41D6" w:rsidRPr="003657E4">
        <w:rPr>
          <w:rStyle w:val="Strong"/>
          <w:rFonts w:ascii="Arial" w:hAnsi="Arial" w:cs="Arial"/>
          <w:b w:val="0"/>
          <w:sz w:val="24"/>
          <w:szCs w:val="24"/>
        </w:rPr>
        <w:t xml:space="preserve"> G, </w:t>
      </w:r>
      <w:proofErr w:type="spellStart"/>
      <w:r w:rsidR="000E41D6" w:rsidRPr="003657E4">
        <w:rPr>
          <w:rStyle w:val="Strong"/>
          <w:rFonts w:ascii="Arial" w:hAnsi="Arial" w:cs="Arial"/>
          <w:b w:val="0"/>
          <w:sz w:val="24"/>
          <w:szCs w:val="24"/>
        </w:rPr>
        <w:t>Castelli</w:t>
      </w:r>
      <w:proofErr w:type="spellEnd"/>
      <w:r w:rsidR="000E41D6" w:rsidRPr="003657E4">
        <w:rPr>
          <w:rStyle w:val="Strong"/>
          <w:rFonts w:ascii="Arial" w:hAnsi="Arial" w:cs="Arial"/>
          <w:b w:val="0"/>
          <w:sz w:val="24"/>
          <w:szCs w:val="24"/>
        </w:rPr>
        <w:t xml:space="preserve"> GP. Mitochondria, oxidative stress, and antioxidant </w:t>
      </w:r>
      <w:proofErr w:type="spellStart"/>
      <w:r w:rsidR="000E41D6" w:rsidRPr="003657E4">
        <w:rPr>
          <w:rStyle w:val="Strong"/>
          <w:rFonts w:ascii="Arial" w:hAnsi="Arial" w:cs="Arial"/>
          <w:b w:val="0"/>
          <w:sz w:val="24"/>
          <w:szCs w:val="24"/>
        </w:rPr>
        <w:t>defences</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Acta</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Biochimica</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Polonica</w:t>
      </w:r>
      <w:proofErr w:type="spellEnd"/>
      <w:r w:rsidR="000E41D6" w:rsidRPr="003657E4">
        <w:rPr>
          <w:rStyle w:val="Strong"/>
          <w:rFonts w:ascii="Arial" w:hAnsi="Arial" w:cs="Arial"/>
          <w:b w:val="0"/>
          <w:sz w:val="24"/>
          <w:szCs w:val="24"/>
        </w:rPr>
        <w:t xml:space="preserve"> 1999</w:t>
      </w:r>
      <w:proofErr w:type="gramStart"/>
      <w:r w:rsidR="000E41D6" w:rsidRPr="003657E4">
        <w:rPr>
          <w:rStyle w:val="Strong"/>
          <w:rFonts w:ascii="Arial" w:hAnsi="Arial" w:cs="Arial"/>
          <w:b w:val="0"/>
          <w:sz w:val="24"/>
          <w:szCs w:val="24"/>
        </w:rPr>
        <w:t>;46</w:t>
      </w:r>
      <w:proofErr w:type="gramEnd"/>
      <w:r w:rsidR="000E41D6" w:rsidRPr="003657E4">
        <w:rPr>
          <w:rStyle w:val="Strong"/>
          <w:rFonts w:ascii="Arial" w:hAnsi="Arial" w:cs="Arial"/>
          <w:b w:val="0"/>
          <w:sz w:val="24"/>
          <w:szCs w:val="24"/>
        </w:rPr>
        <w:t xml:space="preserve">(1):1-21. </w:t>
      </w:r>
    </w:p>
    <w:p w:rsidR="00237400" w:rsidRPr="003657E4" w:rsidRDefault="000D3A0A" w:rsidP="000D3A0A">
      <w:pPr>
        <w:ind w:left="720"/>
        <w:rPr>
          <w:rStyle w:val="Strong"/>
          <w:rFonts w:ascii="Arial" w:hAnsi="Arial" w:cs="Arial"/>
          <w:b w:val="0"/>
          <w:sz w:val="24"/>
          <w:szCs w:val="24"/>
        </w:rPr>
      </w:pPr>
      <w:r>
        <w:rPr>
          <w:rStyle w:val="Strong"/>
          <w:rFonts w:ascii="Arial" w:hAnsi="Arial" w:cs="Arial"/>
          <w:b w:val="0"/>
          <w:sz w:val="24"/>
          <w:szCs w:val="24"/>
        </w:rPr>
        <w:t>11.</w:t>
      </w:r>
      <w:r>
        <w:rPr>
          <w:rStyle w:val="Strong"/>
          <w:rFonts w:ascii="Arial" w:hAnsi="Arial" w:cs="Arial"/>
          <w:b w:val="0"/>
          <w:sz w:val="24"/>
          <w:szCs w:val="24"/>
        </w:rPr>
        <w:tab/>
      </w:r>
      <w:r w:rsidR="000E41D6" w:rsidRPr="003657E4">
        <w:rPr>
          <w:rStyle w:val="Strong"/>
          <w:rFonts w:ascii="Arial" w:hAnsi="Arial" w:cs="Arial"/>
          <w:b w:val="0"/>
          <w:sz w:val="24"/>
          <w:szCs w:val="24"/>
        </w:rPr>
        <w:t xml:space="preserve">Kohler JJ, Lewis W. </w:t>
      </w:r>
      <w:proofErr w:type="gramStart"/>
      <w:r w:rsidR="000E41D6" w:rsidRPr="003657E4">
        <w:rPr>
          <w:rStyle w:val="Strong"/>
          <w:rFonts w:ascii="Arial" w:hAnsi="Arial" w:cs="Arial"/>
          <w:b w:val="0"/>
          <w:sz w:val="24"/>
          <w:szCs w:val="24"/>
        </w:rPr>
        <w:t>A brief overview of mechanisms of mitochondrial toxicity from NRTIs.</w:t>
      </w:r>
      <w:proofErr w:type="gramEnd"/>
      <w:r w:rsidR="000E41D6" w:rsidRPr="003657E4">
        <w:rPr>
          <w:rStyle w:val="Strong"/>
          <w:rFonts w:ascii="Arial" w:hAnsi="Arial" w:cs="Arial"/>
          <w:b w:val="0"/>
          <w:sz w:val="24"/>
          <w:szCs w:val="24"/>
        </w:rPr>
        <w:t xml:space="preserve"> Environ </w:t>
      </w:r>
      <w:proofErr w:type="spellStart"/>
      <w:r w:rsidR="000E41D6" w:rsidRPr="003657E4">
        <w:rPr>
          <w:rStyle w:val="Strong"/>
          <w:rFonts w:ascii="Arial" w:hAnsi="Arial" w:cs="Arial"/>
          <w:b w:val="0"/>
          <w:sz w:val="24"/>
          <w:szCs w:val="24"/>
        </w:rPr>
        <w:t>Mol</w:t>
      </w:r>
      <w:proofErr w:type="spellEnd"/>
      <w:r w:rsidR="000E41D6" w:rsidRPr="003657E4">
        <w:rPr>
          <w:rStyle w:val="Strong"/>
          <w:rFonts w:ascii="Arial" w:hAnsi="Arial" w:cs="Arial"/>
          <w:b w:val="0"/>
          <w:sz w:val="24"/>
          <w:szCs w:val="24"/>
        </w:rPr>
        <w:t xml:space="preserve"> Mutagen 2007</w:t>
      </w:r>
      <w:proofErr w:type="gramStart"/>
      <w:r w:rsidR="000E41D6" w:rsidRPr="003657E4">
        <w:rPr>
          <w:rStyle w:val="Strong"/>
          <w:rFonts w:ascii="Arial" w:hAnsi="Arial" w:cs="Arial"/>
          <w:b w:val="0"/>
          <w:sz w:val="24"/>
          <w:szCs w:val="24"/>
        </w:rPr>
        <w:t>;48:166</w:t>
      </w:r>
      <w:proofErr w:type="gramEnd"/>
      <w:r w:rsidR="000E41D6" w:rsidRPr="003657E4">
        <w:rPr>
          <w:rStyle w:val="Strong"/>
          <w:rFonts w:ascii="Arial" w:hAnsi="Arial" w:cs="Arial"/>
          <w:b w:val="0"/>
          <w:sz w:val="24"/>
          <w:szCs w:val="24"/>
        </w:rPr>
        <w:t xml:space="preserve">-72. </w:t>
      </w:r>
    </w:p>
    <w:p w:rsidR="00237400" w:rsidRPr="003657E4" w:rsidRDefault="000D3A0A" w:rsidP="00C00F0A">
      <w:pPr>
        <w:ind w:left="720"/>
        <w:rPr>
          <w:rStyle w:val="Strong"/>
          <w:rFonts w:ascii="Arial" w:hAnsi="Arial" w:cs="Arial"/>
          <w:b w:val="0"/>
          <w:sz w:val="24"/>
          <w:szCs w:val="24"/>
        </w:rPr>
      </w:pPr>
      <w:proofErr w:type="gramStart"/>
      <w:r>
        <w:rPr>
          <w:rStyle w:val="Strong"/>
          <w:rFonts w:ascii="Arial" w:hAnsi="Arial" w:cs="Arial"/>
          <w:b w:val="0"/>
          <w:sz w:val="24"/>
          <w:szCs w:val="24"/>
        </w:rPr>
        <w:t>12</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proofErr w:type="spellStart"/>
      <w:r w:rsidR="000E41D6" w:rsidRPr="003657E4">
        <w:rPr>
          <w:rStyle w:val="Strong"/>
          <w:rFonts w:ascii="Arial" w:hAnsi="Arial" w:cs="Arial"/>
          <w:b w:val="0"/>
          <w:sz w:val="24"/>
          <w:szCs w:val="24"/>
        </w:rPr>
        <w:t>Bhanu</w:t>
      </w:r>
      <w:proofErr w:type="spellEnd"/>
      <w:r w:rsidR="000E41D6" w:rsidRPr="003657E4">
        <w:rPr>
          <w:rStyle w:val="Strong"/>
          <w:rFonts w:ascii="Arial" w:hAnsi="Arial" w:cs="Arial"/>
          <w:b w:val="0"/>
          <w:sz w:val="24"/>
          <w:szCs w:val="24"/>
        </w:rPr>
        <w:t xml:space="preserve"> MU, </w:t>
      </w:r>
      <w:proofErr w:type="spellStart"/>
      <w:r w:rsidR="000E41D6" w:rsidRPr="003657E4">
        <w:rPr>
          <w:rStyle w:val="Strong"/>
          <w:rFonts w:ascii="Arial" w:hAnsi="Arial" w:cs="Arial"/>
          <w:b w:val="0"/>
          <w:sz w:val="24"/>
          <w:szCs w:val="24"/>
        </w:rPr>
        <w:t>Kondapi</w:t>
      </w:r>
      <w:proofErr w:type="spellEnd"/>
      <w:r w:rsidR="000E41D6" w:rsidRPr="003657E4">
        <w:rPr>
          <w:rStyle w:val="Strong"/>
          <w:rFonts w:ascii="Arial" w:hAnsi="Arial" w:cs="Arial"/>
          <w:b w:val="0"/>
          <w:sz w:val="24"/>
          <w:szCs w:val="24"/>
        </w:rPr>
        <w:t xml:space="preserve"> AK.</w:t>
      </w:r>
      <w:proofErr w:type="gramEnd"/>
      <w:r w:rsidR="000E41D6" w:rsidRPr="003657E4">
        <w:rPr>
          <w:rStyle w:val="Strong"/>
          <w:rFonts w:ascii="Arial" w:hAnsi="Arial" w:cs="Arial"/>
          <w:b w:val="0"/>
          <w:sz w:val="24"/>
          <w:szCs w:val="24"/>
        </w:rPr>
        <w:t xml:space="preserve"> </w:t>
      </w:r>
      <w:proofErr w:type="gramStart"/>
      <w:r w:rsidR="000E41D6" w:rsidRPr="003657E4">
        <w:rPr>
          <w:rStyle w:val="Strong"/>
          <w:rFonts w:ascii="Arial" w:hAnsi="Arial" w:cs="Arial"/>
          <w:b w:val="0"/>
          <w:sz w:val="24"/>
          <w:szCs w:val="24"/>
        </w:rPr>
        <w:t xml:space="preserve">Neurotoxic activity of a topoisomerase-I inhibitor, </w:t>
      </w:r>
      <w:proofErr w:type="spellStart"/>
      <w:r w:rsidR="000E41D6" w:rsidRPr="003657E4">
        <w:rPr>
          <w:rStyle w:val="Strong"/>
          <w:rFonts w:ascii="Arial" w:hAnsi="Arial" w:cs="Arial"/>
          <w:b w:val="0"/>
          <w:sz w:val="24"/>
          <w:szCs w:val="24"/>
        </w:rPr>
        <w:t>camptothecin</w:t>
      </w:r>
      <w:proofErr w:type="spellEnd"/>
      <w:r w:rsidR="000E41D6" w:rsidRPr="003657E4">
        <w:rPr>
          <w:rStyle w:val="Strong"/>
          <w:rFonts w:ascii="Arial" w:hAnsi="Arial" w:cs="Arial"/>
          <w:b w:val="0"/>
          <w:sz w:val="24"/>
          <w:szCs w:val="24"/>
        </w:rPr>
        <w:t>, in cultured cerebellar granule neurons.</w:t>
      </w:r>
      <w:proofErr w:type="gram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Neurotoxicology</w:t>
      </w:r>
      <w:proofErr w:type="spellEnd"/>
      <w:r w:rsidR="000E41D6" w:rsidRPr="003657E4">
        <w:rPr>
          <w:rStyle w:val="Strong"/>
          <w:rFonts w:ascii="Arial" w:hAnsi="Arial" w:cs="Arial"/>
          <w:b w:val="0"/>
          <w:sz w:val="24"/>
          <w:szCs w:val="24"/>
        </w:rPr>
        <w:t xml:space="preserve"> 2010</w:t>
      </w:r>
      <w:proofErr w:type="gramStart"/>
      <w:r w:rsidR="000E41D6" w:rsidRPr="003657E4">
        <w:rPr>
          <w:rStyle w:val="Strong"/>
          <w:rFonts w:ascii="Arial" w:hAnsi="Arial" w:cs="Arial"/>
          <w:b w:val="0"/>
          <w:sz w:val="24"/>
          <w:szCs w:val="24"/>
        </w:rPr>
        <w:t>;31:730</w:t>
      </w:r>
      <w:proofErr w:type="gramEnd"/>
      <w:r w:rsidR="000E41D6" w:rsidRPr="003657E4">
        <w:rPr>
          <w:rStyle w:val="Strong"/>
          <w:rFonts w:ascii="Arial" w:hAnsi="Arial" w:cs="Arial"/>
          <w:b w:val="0"/>
          <w:sz w:val="24"/>
          <w:szCs w:val="24"/>
        </w:rPr>
        <w:t xml:space="preserve">-7.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13</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r w:rsidR="000E41D6" w:rsidRPr="003657E4">
        <w:rPr>
          <w:rStyle w:val="Strong"/>
          <w:rFonts w:ascii="Arial" w:hAnsi="Arial" w:cs="Arial"/>
          <w:b w:val="0"/>
          <w:sz w:val="24"/>
          <w:szCs w:val="24"/>
        </w:rPr>
        <w:t xml:space="preserve">Talia V, </w:t>
      </w:r>
      <w:proofErr w:type="spellStart"/>
      <w:r w:rsidR="000E41D6" w:rsidRPr="003657E4">
        <w:rPr>
          <w:rStyle w:val="Strong"/>
          <w:rFonts w:ascii="Arial" w:hAnsi="Arial" w:cs="Arial"/>
          <w:b w:val="0"/>
          <w:sz w:val="24"/>
          <w:szCs w:val="24"/>
        </w:rPr>
        <w:t>Veerareddy</w:t>
      </w:r>
      <w:proofErr w:type="spellEnd"/>
      <w:r w:rsidR="000E41D6" w:rsidRPr="003657E4">
        <w:rPr>
          <w:rStyle w:val="Strong"/>
          <w:rFonts w:ascii="Arial" w:hAnsi="Arial" w:cs="Arial"/>
          <w:b w:val="0"/>
          <w:sz w:val="24"/>
          <w:szCs w:val="24"/>
        </w:rPr>
        <w:t xml:space="preserve"> PR. Oxidative stress induced by fluoroquinolones on treatment for complicated urinary tract infections in Indian patients. J Young Pharm 2011</w:t>
      </w:r>
      <w:proofErr w:type="gramStart"/>
      <w:r w:rsidR="000E41D6" w:rsidRPr="003657E4">
        <w:rPr>
          <w:rStyle w:val="Strong"/>
          <w:rFonts w:ascii="Arial" w:hAnsi="Arial" w:cs="Arial"/>
          <w:b w:val="0"/>
          <w:sz w:val="24"/>
          <w:szCs w:val="24"/>
        </w:rPr>
        <w:t>;3</w:t>
      </w:r>
      <w:proofErr w:type="gramEnd"/>
      <w:r w:rsidR="000E41D6" w:rsidRPr="003657E4">
        <w:rPr>
          <w:rStyle w:val="Strong"/>
          <w:rFonts w:ascii="Arial" w:hAnsi="Arial" w:cs="Arial"/>
          <w:b w:val="0"/>
          <w:sz w:val="24"/>
          <w:szCs w:val="24"/>
        </w:rPr>
        <w:t xml:space="preserve">(4):304-9.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14</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r w:rsidR="000E41D6" w:rsidRPr="003657E4">
        <w:rPr>
          <w:rStyle w:val="Strong"/>
          <w:rFonts w:ascii="Arial" w:hAnsi="Arial" w:cs="Arial"/>
          <w:b w:val="0"/>
          <w:sz w:val="24"/>
          <w:szCs w:val="24"/>
        </w:rPr>
        <w:t xml:space="preserve">Sun LQ, Zhao J, Zhang TT, et al. Protective effects of </w:t>
      </w:r>
      <w:proofErr w:type="spellStart"/>
      <w:r w:rsidR="000E41D6" w:rsidRPr="003657E4">
        <w:rPr>
          <w:rStyle w:val="Strong"/>
          <w:rFonts w:ascii="Arial" w:hAnsi="Arial" w:cs="Arial"/>
          <w:b w:val="0"/>
          <w:sz w:val="24"/>
          <w:szCs w:val="24"/>
        </w:rPr>
        <w:t>salvianolic</w:t>
      </w:r>
      <w:proofErr w:type="spellEnd"/>
      <w:r w:rsidR="000E41D6" w:rsidRPr="003657E4">
        <w:rPr>
          <w:rStyle w:val="Strong"/>
          <w:rFonts w:ascii="Arial" w:hAnsi="Arial" w:cs="Arial"/>
          <w:b w:val="0"/>
          <w:sz w:val="24"/>
          <w:szCs w:val="24"/>
        </w:rPr>
        <w:t xml:space="preserve"> acid b on Schwann cells apoptosis induced by high glucose. </w:t>
      </w:r>
      <w:proofErr w:type="spellStart"/>
      <w:r w:rsidR="000E41D6" w:rsidRPr="003657E4">
        <w:rPr>
          <w:rStyle w:val="Strong"/>
          <w:rFonts w:ascii="Arial" w:hAnsi="Arial" w:cs="Arial"/>
          <w:b w:val="0"/>
          <w:sz w:val="24"/>
          <w:szCs w:val="24"/>
        </w:rPr>
        <w:t>Neurochem</w:t>
      </w:r>
      <w:proofErr w:type="spellEnd"/>
      <w:r w:rsidR="000E41D6" w:rsidRPr="003657E4">
        <w:rPr>
          <w:rStyle w:val="Strong"/>
          <w:rFonts w:ascii="Arial" w:hAnsi="Arial" w:cs="Arial"/>
          <w:b w:val="0"/>
          <w:sz w:val="24"/>
          <w:szCs w:val="24"/>
        </w:rPr>
        <w:t xml:space="preserve"> Res 2012</w:t>
      </w:r>
      <w:proofErr w:type="gramStart"/>
      <w:r w:rsidR="000E41D6" w:rsidRPr="003657E4">
        <w:rPr>
          <w:rStyle w:val="Strong"/>
          <w:rFonts w:ascii="Arial" w:hAnsi="Arial" w:cs="Arial"/>
          <w:b w:val="0"/>
          <w:sz w:val="24"/>
          <w:szCs w:val="24"/>
        </w:rPr>
        <w:t>;37:996</w:t>
      </w:r>
      <w:proofErr w:type="gramEnd"/>
      <w:r w:rsidR="000E41D6" w:rsidRPr="003657E4">
        <w:rPr>
          <w:rStyle w:val="Strong"/>
          <w:rFonts w:ascii="Arial" w:hAnsi="Arial" w:cs="Arial"/>
          <w:b w:val="0"/>
          <w:sz w:val="24"/>
          <w:szCs w:val="24"/>
        </w:rPr>
        <w:t xml:space="preserve">-1010.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15</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r w:rsidR="000E41D6" w:rsidRPr="003657E4">
        <w:rPr>
          <w:rStyle w:val="Strong"/>
          <w:rFonts w:ascii="Arial" w:hAnsi="Arial" w:cs="Arial"/>
          <w:b w:val="0"/>
          <w:sz w:val="24"/>
          <w:szCs w:val="24"/>
        </w:rPr>
        <w:t xml:space="preserve">Sun LQ, Chen YY, Wang X, et al. The protective effect of alpha </w:t>
      </w:r>
      <w:proofErr w:type="spellStart"/>
      <w:r w:rsidR="000E41D6" w:rsidRPr="003657E4">
        <w:rPr>
          <w:rStyle w:val="Strong"/>
          <w:rFonts w:ascii="Arial" w:hAnsi="Arial" w:cs="Arial"/>
          <w:b w:val="0"/>
          <w:sz w:val="24"/>
          <w:szCs w:val="24"/>
        </w:rPr>
        <w:t>lipoic</w:t>
      </w:r>
      <w:proofErr w:type="spellEnd"/>
      <w:r w:rsidR="000E41D6" w:rsidRPr="003657E4">
        <w:rPr>
          <w:rStyle w:val="Strong"/>
          <w:rFonts w:ascii="Arial" w:hAnsi="Arial" w:cs="Arial"/>
          <w:b w:val="0"/>
          <w:sz w:val="24"/>
          <w:szCs w:val="24"/>
        </w:rPr>
        <w:t xml:space="preserve"> acid on Schwann cells exposed to constant or intermittent high glucose. </w:t>
      </w:r>
      <w:proofErr w:type="spellStart"/>
      <w:r w:rsidR="000E41D6" w:rsidRPr="003657E4">
        <w:rPr>
          <w:rStyle w:val="Strong"/>
          <w:rFonts w:ascii="Arial" w:hAnsi="Arial" w:cs="Arial"/>
          <w:b w:val="0"/>
          <w:sz w:val="24"/>
          <w:szCs w:val="24"/>
        </w:rPr>
        <w:t>Biochem</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Pharmacol</w:t>
      </w:r>
      <w:proofErr w:type="spellEnd"/>
      <w:r w:rsidR="000E41D6" w:rsidRPr="003657E4">
        <w:rPr>
          <w:rStyle w:val="Strong"/>
          <w:rFonts w:ascii="Arial" w:hAnsi="Arial" w:cs="Arial"/>
          <w:b w:val="0"/>
          <w:sz w:val="24"/>
          <w:szCs w:val="24"/>
        </w:rPr>
        <w:t xml:space="preserve"> 2012</w:t>
      </w:r>
      <w:proofErr w:type="gramStart"/>
      <w:r w:rsidR="000E41D6" w:rsidRPr="003657E4">
        <w:rPr>
          <w:rStyle w:val="Strong"/>
          <w:rFonts w:ascii="Arial" w:hAnsi="Arial" w:cs="Arial"/>
          <w:b w:val="0"/>
          <w:sz w:val="24"/>
          <w:szCs w:val="24"/>
        </w:rPr>
        <w:t>;84:961</w:t>
      </w:r>
      <w:proofErr w:type="gramEnd"/>
      <w:r w:rsidR="000E41D6" w:rsidRPr="003657E4">
        <w:rPr>
          <w:rStyle w:val="Strong"/>
          <w:rFonts w:ascii="Arial" w:hAnsi="Arial" w:cs="Arial"/>
          <w:b w:val="0"/>
          <w:sz w:val="24"/>
          <w:szCs w:val="24"/>
        </w:rPr>
        <w:t xml:space="preserve">- 73.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16</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r w:rsidR="000E41D6" w:rsidRPr="003657E4">
        <w:rPr>
          <w:rStyle w:val="Strong"/>
          <w:rFonts w:ascii="Arial" w:hAnsi="Arial" w:cs="Arial"/>
          <w:b w:val="0"/>
          <w:sz w:val="24"/>
          <w:szCs w:val="24"/>
        </w:rPr>
        <w:t xml:space="preserve">Vincent </w:t>
      </w:r>
      <w:proofErr w:type="gramStart"/>
      <w:r w:rsidR="000E41D6" w:rsidRPr="003657E4">
        <w:rPr>
          <w:rStyle w:val="Strong"/>
          <w:rFonts w:ascii="Arial" w:hAnsi="Arial" w:cs="Arial"/>
          <w:b w:val="0"/>
          <w:sz w:val="24"/>
          <w:szCs w:val="24"/>
        </w:rPr>
        <w:t>AM</w:t>
      </w:r>
      <w:proofErr w:type="gramEnd"/>
      <w:r w:rsidR="000E41D6" w:rsidRPr="003657E4">
        <w:rPr>
          <w:rStyle w:val="Strong"/>
          <w:rFonts w:ascii="Arial" w:hAnsi="Arial" w:cs="Arial"/>
          <w:b w:val="0"/>
          <w:sz w:val="24"/>
          <w:szCs w:val="24"/>
        </w:rPr>
        <w:t xml:space="preserve">, Edwards JL, McLean LL, et al. Mitochondrial biogenesis and fission in axons in cell culture and animal models of diabetic neuropathy. </w:t>
      </w:r>
      <w:proofErr w:type="spellStart"/>
      <w:r w:rsidR="000E41D6" w:rsidRPr="003657E4">
        <w:rPr>
          <w:rStyle w:val="Strong"/>
          <w:rFonts w:ascii="Arial" w:hAnsi="Arial" w:cs="Arial"/>
          <w:b w:val="0"/>
          <w:sz w:val="24"/>
          <w:szCs w:val="24"/>
        </w:rPr>
        <w:t>Acta</w:t>
      </w:r>
      <w:proofErr w:type="spell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Neuropathol</w:t>
      </w:r>
      <w:proofErr w:type="spellEnd"/>
      <w:r w:rsidR="000E41D6" w:rsidRPr="003657E4">
        <w:rPr>
          <w:rStyle w:val="Strong"/>
          <w:rFonts w:ascii="Arial" w:hAnsi="Arial" w:cs="Arial"/>
          <w:b w:val="0"/>
          <w:sz w:val="24"/>
          <w:szCs w:val="24"/>
        </w:rPr>
        <w:t xml:space="preserve"> 2010</w:t>
      </w:r>
      <w:proofErr w:type="gramStart"/>
      <w:r w:rsidR="000E41D6" w:rsidRPr="003657E4">
        <w:rPr>
          <w:rStyle w:val="Strong"/>
          <w:rFonts w:ascii="Arial" w:hAnsi="Arial" w:cs="Arial"/>
          <w:b w:val="0"/>
          <w:sz w:val="24"/>
          <w:szCs w:val="24"/>
        </w:rPr>
        <w:t>;120:477</w:t>
      </w:r>
      <w:proofErr w:type="gramEnd"/>
      <w:r w:rsidR="000E41D6" w:rsidRPr="003657E4">
        <w:rPr>
          <w:rStyle w:val="Strong"/>
          <w:rFonts w:ascii="Arial" w:hAnsi="Arial" w:cs="Arial"/>
          <w:b w:val="0"/>
          <w:sz w:val="24"/>
          <w:szCs w:val="24"/>
        </w:rPr>
        <w:t xml:space="preserve">-89. </w:t>
      </w:r>
    </w:p>
    <w:p w:rsidR="00237400" w:rsidRPr="003657E4" w:rsidRDefault="000D3A0A" w:rsidP="00C00F0A">
      <w:pPr>
        <w:ind w:left="720"/>
        <w:rPr>
          <w:rStyle w:val="Strong"/>
          <w:rFonts w:ascii="Arial" w:hAnsi="Arial" w:cs="Arial"/>
          <w:b w:val="0"/>
          <w:sz w:val="24"/>
          <w:szCs w:val="24"/>
        </w:rPr>
      </w:pPr>
      <w:r>
        <w:rPr>
          <w:rStyle w:val="Strong"/>
          <w:rFonts w:ascii="Arial" w:hAnsi="Arial" w:cs="Arial"/>
          <w:b w:val="0"/>
          <w:sz w:val="24"/>
          <w:szCs w:val="24"/>
        </w:rPr>
        <w:t>17</w:t>
      </w:r>
      <w:r w:rsidR="000E41D6" w:rsidRPr="003657E4">
        <w:rPr>
          <w:rStyle w:val="Strong"/>
          <w:rFonts w:ascii="Arial" w:hAnsi="Arial" w:cs="Arial"/>
          <w:b w:val="0"/>
          <w:sz w:val="24"/>
          <w:szCs w:val="24"/>
        </w:rPr>
        <w:t xml:space="preserve">. </w:t>
      </w:r>
      <w:r>
        <w:rPr>
          <w:rStyle w:val="Strong"/>
          <w:rFonts w:ascii="Arial" w:hAnsi="Arial" w:cs="Arial"/>
          <w:b w:val="0"/>
          <w:sz w:val="24"/>
          <w:szCs w:val="24"/>
        </w:rPr>
        <w:tab/>
      </w:r>
      <w:r w:rsidR="000E41D6" w:rsidRPr="003657E4">
        <w:rPr>
          <w:rStyle w:val="Strong"/>
          <w:rFonts w:ascii="Arial" w:hAnsi="Arial" w:cs="Arial"/>
          <w:b w:val="0"/>
          <w:sz w:val="24"/>
          <w:szCs w:val="24"/>
        </w:rPr>
        <w:t xml:space="preserve">Vincent </w:t>
      </w:r>
      <w:proofErr w:type="gramStart"/>
      <w:r w:rsidR="000E41D6" w:rsidRPr="003657E4">
        <w:rPr>
          <w:rStyle w:val="Strong"/>
          <w:rFonts w:ascii="Arial" w:hAnsi="Arial" w:cs="Arial"/>
          <w:b w:val="0"/>
          <w:sz w:val="24"/>
          <w:szCs w:val="24"/>
        </w:rPr>
        <w:t>AM</w:t>
      </w:r>
      <w:proofErr w:type="gramEnd"/>
      <w:r w:rsidR="000E41D6" w:rsidRPr="003657E4">
        <w:rPr>
          <w:rStyle w:val="Strong"/>
          <w:rFonts w:ascii="Arial" w:hAnsi="Arial" w:cs="Arial"/>
          <w:b w:val="0"/>
          <w:sz w:val="24"/>
          <w:szCs w:val="24"/>
        </w:rPr>
        <w:t xml:space="preserve">, Edwards JL, </w:t>
      </w:r>
      <w:proofErr w:type="spellStart"/>
      <w:r w:rsidR="000E41D6" w:rsidRPr="003657E4">
        <w:rPr>
          <w:rStyle w:val="Strong"/>
          <w:rFonts w:ascii="Arial" w:hAnsi="Arial" w:cs="Arial"/>
          <w:b w:val="0"/>
          <w:sz w:val="24"/>
          <w:szCs w:val="24"/>
        </w:rPr>
        <w:t>Sadidi</w:t>
      </w:r>
      <w:proofErr w:type="spellEnd"/>
      <w:r w:rsidR="000E41D6" w:rsidRPr="003657E4">
        <w:rPr>
          <w:rStyle w:val="Strong"/>
          <w:rFonts w:ascii="Arial" w:hAnsi="Arial" w:cs="Arial"/>
          <w:b w:val="0"/>
          <w:sz w:val="24"/>
          <w:szCs w:val="24"/>
        </w:rPr>
        <w:t xml:space="preserve"> M, Feldman EL. </w:t>
      </w:r>
      <w:proofErr w:type="gramStart"/>
      <w:r w:rsidR="000E41D6" w:rsidRPr="003657E4">
        <w:rPr>
          <w:rStyle w:val="Strong"/>
          <w:rFonts w:ascii="Arial" w:hAnsi="Arial" w:cs="Arial"/>
          <w:b w:val="0"/>
          <w:sz w:val="24"/>
          <w:szCs w:val="24"/>
        </w:rPr>
        <w:t>The antioxidant response as a drug target in diabetic neuropathy.</w:t>
      </w:r>
      <w:proofErr w:type="gramEnd"/>
      <w:r w:rsidR="000E41D6" w:rsidRPr="003657E4">
        <w:rPr>
          <w:rStyle w:val="Strong"/>
          <w:rFonts w:ascii="Arial" w:hAnsi="Arial" w:cs="Arial"/>
          <w:b w:val="0"/>
          <w:sz w:val="24"/>
          <w:szCs w:val="24"/>
        </w:rPr>
        <w:t xml:space="preserve"> </w:t>
      </w:r>
      <w:proofErr w:type="spellStart"/>
      <w:r w:rsidR="000E41D6" w:rsidRPr="003657E4">
        <w:rPr>
          <w:rStyle w:val="Strong"/>
          <w:rFonts w:ascii="Arial" w:hAnsi="Arial" w:cs="Arial"/>
          <w:b w:val="0"/>
          <w:sz w:val="24"/>
          <w:szCs w:val="24"/>
        </w:rPr>
        <w:t>Curr</w:t>
      </w:r>
      <w:proofErr w:type="spellEnd"/>
      <w:r w:rsidR="000E41D6" w:rsidRPr="003657E4">
        <w:rPr>
          <w:rStyle w:val="Strong"/>
          <w:rFonts w:ascii="Arial" w:hAnsi="Arial" w:cs="Arial"/>
          <w:b w:val="0"/>
          <w:sz w:val="24"/>
          <w:szCs w:val="24"/>
        </w:rPr>
        <w:t xml:space="preserve"> Drug Targets 2008</w:t>
      </w:r>
      <w:proofErr w:type="gramStart"/>
      <w:r w:rsidR="000E41D6" w:rsidRPr="003657E4">
        <w:rPr>
          <w:rStyle w:val="Strong"/>
          <w:rFonts w:ascii="Arial" w:hAnsi="Arial" w:cs="Arial"/>
          <w:b w:val="0"/>
          <w:sz w:val="24"/>
          <w:szCs w:val="24"/>
        </w:rPr>
        <w:t>;9:94</w:t>
      </w:r>
      <w:proofErr w:type="gramEnd"/>
      <w:r w:rsidR="000E41D6" w:rsidRPr="003657E4">
        <w:rPr>
          <w:rStyle w:val="Strong"/>
          <w:rFonts w:ascii="Arial" w:hAnsi="Arial" w:cs="Arial"/>
          <w:b w:val="0"/>
          <w:sz w:val="24"/>
          <w:szCs w:val="24"/>
        </w:rPr>
        <w:t>-100.</w:t>
      </w:r>
      <w:r w:rsidR="00D946E0">
        <w:rPr>
          <w:rStyle w:val="Strong"/>
          <w:rFonts w:ascii="Arial" w:hAnsi="Arial" w:cs="Arial"/>
          <w:b w:val="0"/>
          <w:sz w:val="24"/>
          <w:szCs w:val="24"/>
        </w:rPr>
        <w:t>”</w:t>
      </w:r>
      <w:r w:rsidR="000E41D6" w:rsidRPr="003657E4">
        <w:rPr>
          <w:rStyle w:val="Strong"/>
          <w:rFonts w:ascii="Arial" w:hAnsi="Arial" w:cs="Arial"/>
          <w:b w:val="0"/>
          <w:sz w:val="24"/>
          <w:szCs w:val="24"/>
        </w:rPr>
        <w:t xml:space="preserve"> </w:t>
      </w:r>
      <w:r w:rsidR="00026454" w:rsidRPr="00D946E0">
        <w:rPr>
          <w:rStyle w:val="Strong"/>
          <w:rFonts w:ascii="Arial" w:hAnsi="Arial" w:cs="Arial"/>
          <w:b w:val="0"/>
          <w:sz w:val="24"/>
          <w:szCs w:val="24"/>
        </w:rPr>
        <w:t>(FDA, 2013, pages 14-15)</w:t>
      </w:r>
    </w:p>
    <w:p w:rsidR="00C66E8D" w:rsidRDefault="00C66E8D" w:rsidP="00C00F0A">
      <w:pPr>
        <w:pStyle w:val="ListParagraph"/>
        <w:rPr>
          <w:rStyle w:val="Strong"/>
          <w:rFonts w:ascii="Arial" w:hAnsi="Arial" w:cs="Arial"/>
          <w:sz w:val="24"/>
          <w:szCs w:val="24"/>
        </w:rPr>
      </w:pPr>
    </w:p>
    <w:p w:rsidR="00306B2E" w:rsidRDefault="00306B2E" w:rsidP="00C00F0A">
      <w:pPr>
        <w:pStyle w:val="ListParagraph"/>
        <w:rPr>
          <w:rStyle w:val="Strong"/>
          <w:rFonts w:ascii="Arial" w:hAnsi="Arial" w:cs="Arial"/>
          <w:sz w:val="24"/>
          <w:szCs w:val="24"/>
        </w:rPr>
      </w:pPr>
    </w:p>
    <w:p w:rsidR="00BD2AE0" w:rsidRDefault="00334231" w:rsidP="00334231">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r w:rsidRPr="00334231">
        <w:rPr>
          <w:rStyle w:val="Strong"/>
          <w:rFonts w:ascii="Arial" w:hAnsi="Arial" w:cs="Arial"/>
          <w:sz w:val="24"/>
          <w:szCs w:val="24"/>
        </w:rPr>
        <w:t>SUMMARY</w:t>
      </w:r>
      <w:r w:rsidR="004F31D1" w:rsidRPr="00334231">
        <w:rPr>
          <w:rStyle w:val="Strong"/>
          <w:rFonts w:ascii="Arial" w:hAnsi="Arial" w:cs="Arial"/>
          <w:sz w:val="24"/>
          <w:szCs w:val="24"/>
        </w:rPr>
        <w:t xml:space="preserve">:  </w:t>
      </w:r>
    </w:p>
    <w:p w:rsidR="00004E3C" w:rsidRDefault="00004E3C" w:rsidP="00BD2AE0">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r>
        <w:rPr>
          <w:rStyle w:val="Strong"/>
          <w:rFonts w:ascii="Arial" w:hAnsi="Arial" w:cs="Arial"/>
          <w:sz w:val="24"/>
          <w:szCs w:val="24"/>
        </w:rPr>
        <w:t xml:space="preserve">The </w:t>
      </w:r>
      <w:r w:rsidR="00334231">
        <w:rPr>
          <w:rStyle w:val="Strong"/>
          <w:rFonts w:ascii="Arial" w:hAnsi="Arial" w:cs="Arial"/>
          <w:sz w:val="24"/>
          <w:szCs w:val="24"/>
        </w:rPr>
        <w:t>FDA-</w:t>
      </w:r>
      <w:r w:rsidR="00BD2AE0">
        <w:rPr>
          <w:rStyle w:val="Strong"/>
          <w:rFonts w:ascii="Arial" w:hAnsi="Arial" w:cs="Arial"/>
          <w:sz w:val="24"/>
          <w:szCs w:val="24"/>
        </w:rPr>
        <w:t xml:space="preserve">identified </w:t>
      </w:r>
    </w:p>
    <w:p w:rsidR="00BD2AE0" w:rsidRDefault="004F31D1" w:rsidP="00BD2AE0">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r w:rsidRPr="00334231">
        <w:rPr>
          <w:rStyle w:val="Strong"/>
          <w:rFonts w:ascii="Arial" w:hAnsi="Arial" w:cs="Arial"/>
          <w:sz w:val="24"/>
          <w:szCs w:val="24"/>
        </w:rPr>
        <w:t>“Possible Mechanism of Action</w:t>
      </w:r>
      <w:r w:rsidR="00334231">
        <w:rPr>
          <w:rStyle w:val="Strong"/>
          <w:rFonts w:ascii="Arial" w:hAnsi="Arial" w:cs="Arial"/>
          <w:sz w:val="24"/>
          <w:szCs w:val="24"/>
        </w:rPr>
        <w:t>:  Mitochondrial Toxicity</w:t>
      </w:r>
      <w:r w:rsidRPr="00334231">
        <w:rPr>
          <w:rStyle w:val="Strong"/>
          <w:rFonts w:ascii="Arial" w:hAnsi="Arial" w:cs="Arial"/>
          <w:sz w:val="24"/>
          <w:szCs w:val="24"/>
        </w:rPr>
        <w:t>”</w:t>
      </w:r>
      <w:r w:rsidR="00462795">
        <w:rPr>
          <w:rStyle w:val="Strong"/>
          <w:rFonts w:ascii="Arial" w:hAnsi="Arial" w:cs="Arial"/>
          <w:sz w:val="24"/>
          <w:szCs w:val="24"/>
        </w:rPr>
        <w:t xml:space="preserve"> </w:t>
      </w:r>
    </w:p>
    <w:p w:rsidR="00334231" w:rsidRDefault="00BD2AE0" w:rsidP="00462795">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r>
        <w:rPr>
          <w:rStyle w:val="Strong"/>
          <w:rFonts w:ascii="Arial" w:hAnsi="Arial" w:cs="Arial"/>
          <w:sz w:val="24"/>
          <w:szCs w:val="24"/>
        </w:rPr>
        <w:t>W</w:t>
      </w:r>
      <w:r w:rsidR="00334231">
        <w:rPr>
          <w:rStyle w:val="Strong"/>
          <w:rFonts w:ascii="Arial" w:hAnsi="Arial" w:cs="Arial"/>
          <w:sz w:val="24"/>
          <w:szCs w:val="24"/>
        </w:rPr>
        <w:t>arrant</w:t>
      </w:r>
      <w:r w:rsidR="00666F2F" w:rsidRPr="00334231">
        <w:rPr>
          <w:rStyle w:val="Strong"/>
          <w:rFonts w:ascii="Arial" w:hAnsi="Arial" w:cs="Arial"/>
          <w:sz w:val="24"/>
          <w:szCs w:val="24"/>
        </w:rPr>
        <w:t xml:space="preserve">s </w:t>
      </w:r>
      <w:r w:rsidR="004F31D1" w:rsidRPr="00334231">
        <w:rPr>
          <w:rStyle w:val="Strong"/>
          <w:rFonts w:ascii="Arial" w:hAnsi="Arial" w:cs="Arial"/>
          <w:sz w:val="24"/>
          <w:szCs w:val="24"/>
        </w:rPr>
        <w:t>a</w:t>
      </w:r>
      <w:r>
        <w:rPr>
          <w:rStyle w:val="Strong"/>
          <w:rFonts w:ascii="Arial" w:hAnsi="Arial" w:cs="Arial"/>
          <w:sz w:val="24"/>
          <w:szCs w:val="24"/>
        </w:rPr>
        <w:t xml:space="preserve"> heading u</w:t>
      </w:r>
      <w:r w:rsidR="00334231">
        <w:rPr>
          <w:rStyle w:val="Strong"/>
          <w:rFonts w:ascii="Arial" w:hAnsi="Arial" w:cs="Arial"/>
          <w:sz w:val="24"/>
          <w:szCs w:val="24"/>
        </w:rPr>
        <w:t xml:space="preserve">nder the ‘Warnings and Precautions” label section, </w:t>
      </w:r>
    </w:p>
    <w:p w:rsidR="00334231" w:rsidRDefault="00BD2AE0" w:rsidP="00334231">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proofErr w:type="gramStart"/>
      <w:r>
        <w:rPr>
          <w:rStyle w:val="Strong"/>
          <w:rFonts w:ascii="Arial" w:hAnsi="Arial" w:cs="Arial"/>
          <w:sz w:val="24"/>
          <w:szCs w:val="24"/>
        </w:rPr>
        <w:t>A</w:t>
      </w:r>
      <w:r w:rsidR="00334231">
        <w:rPr>
          <w:rStyle w:val="Strong"/>
          <w:rFonts w:ascii="Arial" w:hAnsi="Arial" w:cs="Arial"/>
          <w:sz w:val="24"/>
          <w:szCs w:val="24"/>
        </w:rPr>
        <w:t>s well as, a</w:t>
      </w:r>
      <w:r w:rsidR="004F31D1" w:rsidRPr="00334231">
        <w:rPr>
          <w:rStyle w:val="Strong"/>
          <w:rFonts w:ascii="Arial" w:hAnsi="Arial" w:cs="Arial"/>
          <w:sz w:val="24"/>
          <w:szCs w:val="24"/>
        </w:rPr>
        <w:t xml:space="preserve"> Black Box W</w:t>
      </w:r>
      <w:r w:rsidR="00666F2F" w:rsidRPr="00334231">
        <w:rPr>
          <w:rStyle w:val="Strong"/>
          <w:rFonts w:ascii="Arial" w:hAnsi="Arial" w:cs="Arial"/>
          <w:sz w:val="24"/>
          <w:szCs w:val="24"/>
        </w:rPr>
        <w:t>arning.</w:t>
      </w:r>
      <w:proofErr w:type="gramEnd"/>
      <w:r w:rsidR="00666F2F" w:rsidRPr="00334231">
        <w:rPr>
          <w:rStyle w:val="Strong"/>
          <w:rFonts w:ascii="Arial" w:hAnsi="Arial" w:cs="Arial"/>
          <w:sz w:val="24"/>
          <w:szCs w:val="24"/>
        </w:rPr>
        <w:t xml:space="preserve">  </w:t>
      </w:r>
    </w:p>
    <w:p w:rsidR="00666F2F" w:rsidRDefault="004F31D1" w:rsidP="00462795">
      <w:pPr>
        <w:pStyle w:val="ListParagraph"/>
        <w:pBdr>
          <w:top w:val="single" w:sz="4" w:space="1" w:color="auto"/>
          <w:left w:val="single" w:sz="4" w:space="4" w:color="auto"/>
          <w:bottom w:val="single" w:sz="4" w:space="1" w:color="auto"/>
          <w:right w:val="single" w:sz="4" w:space="4" w:color="auto"/>
        </w:pBdr>
        <w:ind w:left="0"/>
        <w:jc w:val="center"/>
        <w:rPr>
          <w:rStyle w:val="Strong"/>
          <w:rFonts w:ascii="Arial" w:hAnsi="Arial" w:cs="Arial"/>
          <w:sz w:val="24"/>
          <w:szCs w:val="24"/>
        </w:rPr>
      </w:pPr>
      <w:r w:rsidRPr="00334231">
        <w:rPr>
          <w:rStyle w:val="Strong"/>
          <w:rFonts w:ascii="Arial" w:hAnsi="Arial" w:cs="Arial"/>
          <w:sz w:val="24"/>
          <w:szCs w:val="24"/>
        </w:rPr>
        <w:t>The seriousness of “Mit</w:t>
      </w:r>
      <w:r w:rsidR="00334231">
        <w:rPr>
          <w:rStyle w:val="Strong"/>
          <w:rFonts w:ascii="Arial" w:hAnsi="Arial" w:cs="Arial"/>
          <w:sz w:val="24"/>
          <w:szCs w:val="24"/>
        </w:rPr>
        <w:t xml:space="preserve">ochondrial Toxicity” requires both of these label changes. </w:t>
      </w:r>
    </w:p>
    <w:p w:rsidR="000C6406" w:rsidRDefault="000C6406" w:rsidP="00E83F28">
      <w:pPr>
        <w:pStyle w:val="ListParagraph"/>
        <w:ind w:left="0"/>
        <w:rPr>
          <w:rStyle w:val="Strong"/>
          <w:rFonts w:ascii="Arial" w:hAnsi="Arial" w:cs="Arial"/>
          <w:sz w:val="24"/>
          <w:szCs w:val="24"/>
        </w:rPr>
      </w:pPr>
    </w:p>
    <w:p w:rsidR="00306B2E" w:rsidRDefault="00306B2E" w:rsidP="00E83F28">
      <w:pPr>
        <w:pStyle w:val="ListParagraph"/>
        <w:ind w:left="0"/>
        <w:rPr>
          <w:rStyle w:val="Strong"/>
          <w:rFonts w:ascii="Arial" w:hAnsi="Arial" w:cs="Arial"/>
          <w:sz w:val="24"/>
          <w:szCs w:val="24"/>
        </w:rPr>
      </w:pPr>
    </w:p>
    <w:p w:rsidR="00702B3F" w:rsidRDefault="00702B3F" w:rsidP="00E83F28">
      <w:pPr>
        <w:pStyle w:val="ListParagraph"/>
        <w:ind w:left="0"/>
        <w:rPr>
          <w:rStyle w:val="Strong"/>
          <w:rFonts w:ascii="Arial" w:hAnsi="Arial" w:cs="Arial"/>
          <w:sz w:val="24"/>
          <w:szCs w:val="24"/>
        </w:rPr>
      </w:pPr>
      <w:r>
        <w:rPr>
          <w:rStyle w:val="Strong"/>
          <w:rFonts w:ascii="Arial" w:hAnsi="Arial" w:cs="Arial"/>
          <w:sz w:val="24"/>
          <w:szCs w:val="24"/>
        </w:rPr>
        <w:t xml:space="preserve">C.  </w:t>
      </w:r>
      <w:r>
        <w:rPr>
          <w:rStyle w:val="Strong"/>
          <w:rFonts w:ascii="Arial" w:hAnsi="Arial" w:cs="Arial"/>
          <w:sz w:val="24"/>
          <w:szCs w:val="24"/>
        </w:rPr>
        <w:tab/>
        <w:t>ENVIRONMENTAL IMPACT</w:t>
      </w:r>
    </w:p>
    <w:p w:rsidR="00702B3F" w:rsidRPr="00702B3F" w:rsidRDefault="00702B3F" w:rsidP="00E83F28">
      <w:pPr>
        <w:pStyle w:val="ListParagraph"/>
        <w:ind w:left="0"/>
        <w:rPr>
          <w:rStyle w:val="Strong"/>
          <w:rFonts w:ascii="Arial" w:hAnsi="Arial" w:cs="Arial"/>
          <w:b w:val="0"/>
          <w:sz w:val="24"/>
          <w:szCs w:val="24"/>
        </w:rPr>
      </w:pPr>
    </w:p>
    <w:p w:rsidR="00702B3F" w:rsidRDefault="00702B3F" w:rsidP="00E83F28">
      <w:pPr>
        <w:pStyle w:val="ListParagraph"/>
        <w:ind w:left="0"/>
        <w:rPr>
          <w:rStyle w:val="Strong"/>
          <w:rFonts w:ascii="Arial" w:hAnsi="Arial" w:cs="Arial"/>
          <w:b w:val="0"/>
          <w:sz w:val="24"/>
          <w:szCs w:val="24"/>
        </w:rPr>
      </w:pPr>
      <w:r w:rsidRPr="00702B3F">
        <w:rPr>
          <w:rStyle w:val="Strong"/>
          <w:rFonts w:ascii="Arial" w:hAnsi="Arial" w:cs="Arial"/>
          <w:b w:val="0"/>
          <w:sz w:val="24"/>
          <w:szCs w:val="24"/>
        </w:rPr>
        <w:t>The</w:t>
      </w:r>
      <w:r w:rsidRPr="00702B3F">
        <w:rPr>
          <w:b/>
        </w:rPr>
        <w:t xml:space="preserve"> </w:t>
      </w:r>
      <w:r w:rsidRPr="00702B3F">
        <w:rPr>
          <w:rStyle w:val="Strong"/>
          <w:rFonts w:ascii="Arial" w:hAnsi="Arial" w:cs="Arial"/>
          <w:b w:val="0"/>
          <w:sz w:val="24"/>
          <w:szCs w:val="24"/>
        </w:rPr>
        <w:t>action requested is subject to a categorical exemption from environmental assessment under 21 C.F.R.</w:t>
      </w:r>
      <w:r w:rsidRPr="00702B3F">
        <w:rPr>
          <w:rStyle w:val="Strong"/>
          <w:rFonts w:ascii="Arial" w:hAnsi="Arial" w:cs="Arial"/>
          <w:sz w:val="24"/>
          <w:szCs w:val="24"/>
        </w:rPr>
        <w:t xml:space="preserve"> </w:t>
      </w:r>
      <w:r w:rsidRPr="00702B3F">
        <w:rPr>
          <w:rStyle w:val="Strong"/>
          <w:rFonts w:ascii="Arial" w:hAnsi="Arial" w:cs="Arial"/>
          <w:b w:val="0"/>
          <w:sz w:val="24"/>
          <w:szCs w:val="24"/>
        </w:rPr>
        <w:t xml:space="preserve"> 25.22 </w:t>
      </w:r>
      <w:proofErr w:type="gramStart"/>
      <w:r w:rsidRPr="00702B3F">
        <w:rPr>
          <w:rStyle w:val="Strong"/>
          <w:rFonts w:ascii="Arial" w:hAnsi="Arial" w:cs="Arial"/>
          <w:b w:val="0"/>
          <w:sz w:val="24"/>
          <w:szCs w:val="24"/>
        </w:rPr>
        <w:t>and</w:t>
      </w:r>
      <w:proofErr w:type="gramEnd"/>
      <w:r w:rsidRPr="00702B3F">
        <w:rPr>
          <w:rStyle w:val="Strong"/>
          <w:rFonts w:ascii="Arial" w:hAnsi="Arial" w:cs="Arial"/>
          <w:b w:val="0"/>
          <w:sz w:val="24"/>
          <w:szCs w:val="24"/>
        </w:rPr>
        <w:t xml:space="preserve"> 25.31.</w:t>
      </w:r>
    </w:p>
    <w:p w:rsidR="00A81B7F" w:rsidRDefault="00A81B7F">
      <w:pPr>
        <w:rPr>
          <w:rStyle w:val="Strong"/>
          <w:rFonts w:ascii="Arial" w:hAnsi="Arial" w:cs="Arial"/>
          <w:sz w:val="24"/>
          <w:szCs w:val="24"/>
        </w:rPr>
      </w:pPr>
    </w:p>
    <w:p w:rsidR="00702B3F" w:rsidRPr="00702B3F" w:rsidRDefault="00702B3F" w:rsidP="00E83F28">
      <w:pPr>
        <w:pStyle w:val="ListParagraph"/>
        <w:ind w:left="0"/>
        <w:rPr>
          <w:rStyle w:val="Strong"/>
          <w:rFonts w:ascii="Arial" w:hAnsi="Arial" w:cs="Arial"/>
          <w:sz w:val="24"/>
          <w:szCs w:val="24"/>
        </w:rPr>
      </w:pPr>
      <w:r w:rsidRPr="00702B3F">
        <w:rPr>
          <w:rStyle w:val="Strong"/>
          <w:rFonts w:ascii="Arial" w:hAnsi="Arial" w:cs="Arial"/>
          <w:sz w:val="24"/>
          <w:szCs w:val="24"/>
        </w:rPr>
        <w:t xml:space="preserve">D.  </w:t>
      </w:r>
      <w:r>
        <w:rPr>
          <w:rStyle w:val="Strong"/>
          <w:rFonts w:ascii="Arial" w:hAnsi="Arial" w:cs="Arial"/>
          <w:sz w:val="24"/>
          <w:szCs w:val="24"/>
        </w:rPr>
        <w:tab/>
      </w:r>
      <w:r w:rsidRPr="00702B3F">
        <w:rPr>
          <w:rStyle w:val="Strong"/>
          <w:rFonts w:ascii="Arial" w:hAnsi="Arial" w:cs="Arial"/>
          <w:sz w:val="24"/>
          <w:szCs w:val="24"/>
        </w:rPr>
        <w:t>ECONOMIC IMPACT</w:t>
      </w:r>
    </w:p>
    <w:p w:rsidR="00702B3F" w:rsidRDefault="00702B3F" w:rsidP="00E83F28">
      <w:pPr>
        <w:pStyle w:val="ListParagraph"/>
        <w:ind w:left="0"/>
        <w:rPr>
          <w:rStyle w:val="Strong"/>
          <w:rFonts w:ascii="Arial" w:hAnsi="Arial" w:cs="Arial"/>
          <w:b w:val="0"/>
          <w:sz w:val="24"/>
          <w:szCs w:val="24"/>
        </w:rPr>
      </w:pPr>
    </w:p>
    <w:p w:rsidR="00462795" w:rsidRDefault="00702B3F" w:rsidP="00CB2E45">
      <w:pPr>
        <w:pStyle w:val="ListParagraph"/>
        <w:ind w:left="0"/>
        <w:rPr>
          <w:rStyle w:val="Strong"/>
          <w:rFonts w:ascii="Arial" w:hAnsi="Arial" w:cs="Arial"/>
          <w:b w:val="0"/>
          <w:sz w:val="24"/>
          <w:szCs w:val="24"/>
        </w:rPr>
      </w:pPr>
      <w:r>
        <w:rPr>
          <w:rStyle w:val="Strong"/>
          <w:rFonts w:ascii="Arial" w:hAnsi="Arial" w:cs="Arial"/>
          <w:b w:val="0"/>
          <w:sz w:val="24"/>
          <w:szCs w:val="24"/>
        </w:rPr>
        <w:lastRenderedPageBreak/>
        <w:t xml:space="preserve">Pursuant to 21 C.F.R. 10.30(b), SONAR </w:t>
      </w:r>
      <w:r w:rsidR="001804B7">
        <w:rPr>
          <w:rStyle w:val="Strong"/>
          <w:rFonts w:ascii="Arial" w:hAnsi="Arial" w:cs="Arial"/>
          <w:b w:val="0"/>
          <w:sz w:val="24"/>
          <w:szCs w:val="24"/>
        </w:rPr>
        <w:t>provides data concerning the economic impact of the requested cha</w:t>
      </w:r>
      <w:r w:rsidR="004F31D1">
        <w:rPr>
          <w:rStyle w:val="Strong"/>
          <w:rFonts w:ascii="Arial" w:hAnsi="Arial" w:cs="Arial"/>
          <w:b w:val="0"/>
          <w:sz w:val="24"/>
          <w:szCs w:val="24"/>
        </w:rPr>
        <w:t>nge</w:t>
      </w:r>
      <w:r w:rsidR="00AC0696">
        <w:rPr>
          <w:rStyle w:val="Strong"/>
          <w:rFonts w:ascii="Arial" w:hAnsi="Arial" w:cs="Arial"/>
          <w:b w:val="0"/>
          <w:sz w:val="24"/>
          <w:szCs w:val="24"/>
        </w:rPr>
        <w:t>s</w:t>
      </w:r>
      <w:r w:rsidR="004F31D1">
        <w:rPr>
          <w:rStyle w:val="Strong"/>
          <w:rFonts w:ascii="Arial" w:hAnsi="Arial" w:cs="Arial"/>
          <w:b w:val="0"/>
          <w:sz w:val="24"/>
          <w:szCs w:val="24"/>
        </w:rPr>
        <w:t xml:space="preserve">.  </w:t>
      </w:r>
    </w:p>
    <w:p w:rsidR="00462795" w:rsidRDefault="00462795" w:rsidP="00CB2E45">
      <w:pPr>
        <w:pStyle w:val="ListParagraph"/>
        <w:ind w:left="0"/>
        <w:rPr>
          <w:rStyle w:val="Strong"/>
          <w:rFonts w:ascii="Arial" w:hAnsi="Arial" w:cs="Arial"/>
          <w:b w:val="0"/>
          <w:sz w:val="24"/>
          <w:szCs w:val="24"/>
        </w:rPr>
      </w:pPr>
    </w:p>
    <w:p w:rsidR="00CB2E45" w:rsidRDefault="008F1D4E" w:rsidP="00CB2E45">
      <w:pPr>
        <w:pStyle w:val="ListParagraph"/>
        <w:ind w:left="0"/>
        <w:rPr>
          <w:rStyle w:val="Strong"/>
          <w:rFonts w:ascii="Arial" w:hAnsi="Arial" w:cs="Arial"/>
          <w:b w:val="0"/>
          <w:sz w:val="24"/>
          <w:szCs w:val="24"/>
        </w:rPr>
      </w:pPr>
      <w:r>
        <w:rPr>
          <w:rStyle w:val="Strong"/>
          <w:rFonts w:ascii="Arial" w:hAnsi="Arial" w:cs="Arial"/>
          <w:b w:val="0"/>
          <w:sz w:val="24"/>
          <w:szCs w:val="24"/>
        </w:rPr>
        <w:t xml:space="preserve">The following table outlines </w:t>
      </w:r>
      <w:r w:rsidR="00004E3C">
        <w:rPr>
          <w:rStyle w:val="Strong"/>
          <w:rFonts w:ascii="Arial" w:hAnsi="Arial" w:cs="Arial"/>
          <w:b w:val="0"/>
          <w:sz w:val="24"/>
          <w:szCs w:val="24"/>
        </w:rPr>
        <w:t xml:space="preserve">the </w:t>
      </w:r>
      <w:r>
        <w:rPr>
          <w:rStyle w:val="Strong"/>
          <w:rFonts w:ascii="Arial" w:hAnsi="Arial" w:cs="Arial"/>
          <w:b w:val="0"/>
          <w:sz w:val="24"/>
          <w:szCs w:val="24"/>
        </w:rPr>
        <w:t>FDA Adverse Event Reporting System (</w:t>
      </w:r>
      <w:r w:rsidR="00F93F76">
        <w:rPr>
          <w:rStyle w:val="Strong"/>
          <w:rFonts w:ascii="Arial" w:hAnsi="Arial" w:cs="Arial"/>
          <w:b w:val="0"/>
          <w:sz w:val="24"/>
          <w:szCs w:val="24"/>
        </w:rPr>
        <w:t>F</w:t>
      </w:r>
      <w:r>
        <w:rPr>
          <w:rStyle w:val="Strong"/>
          <w:rFonts w:ascii="Arial" w:hAnsi="Arial" w:cs="Arial"/>
          <w:b w:val="0"/>
          <w:sz w:val="24"/>
          <w:szCs w:val="24"/>
        </w:rPr>
        <w:t xml:space="preserve">AERS) data regarding the three most widely prescribed fluoroquinolones:  Levaquin, Cipro, and </w:t>
      </w:r>
      <w:proofErr w:type="spellStart"/>
      <w:r>
        <w:rPr>
          <w:rStyle w:val="Strong"/>
          <w:rFonts w:ascii="Arial" w:hAnsi="Arial" w:cs="Arial"/>
          <w:b w:val="0"/>
          <w:sz w:val="24"/>
          <w:szCs w:val="24"/>
        </w:rPr>
        <w:t>Avelox</w:t>
      </w:r>
      <w:proofErr w:type="spellEnd"/>
      <w:r w:rsidR="00CB2E45">
        <w:rPr>
          <w:rStyle w:val="Strong"/>
          <w:rFonts w:ascii="Arial" w:hAnsi="Arial" w:cs="Arial"/>
          <w:b w:val="0"/>
          <w:sz w:val="24"/>
          <w:szCs w:val="24"/>
        </w:rPr>
        <w:t>.</w:t>
      </w:r>
    </w:p>
    <w:p w:rsidR="0068024E" w:rsidRDefault="0068024E" w:rsidP="008F1D4E">
      <w:pPr>
        <w:pStyle w:val="ListParagraph"/>
        <w:ind w:left="0"/>
        <w:rPr>
          <w:rStyle w:val="Strong"/>
          <w:rFonts w:ascii="Arial" w:hAnsi="Arial" w:cs="Arial"/>
          <w:b w:val="0"/>
          <w:sz w:val="24"/>
          <w:szCs w:val="24"/>
        </w:rPr>
      </w:pPr>
    </w:p>
    <w:p w:rsidR="006D605F" w:rsidRDefault="006D605F" w:rsidP="008F1D4E">
      <w:pPr>
        <w:pStyle w:val="ListParagraph"/>
        <w:ind w:left="0"/>
        <w:rPr>
          <w:rStyle w:val="Strong"/>
          <w:rFonts w:ascii="Arial" w:hAnsi="Arial" w:cs="Arial"/>
          <w:b w:val="0"/>
          <w:sz w:val="24"/>
          <w:szCs w:val="24"/>
        </w:rPr>
      </w:pPr>
    </w:p>
    <w:tbl>
      <w:tblPr>
        <w:tblStyle w:val="TableGrid"/>
        <w:tblW w:w="0" w:type="auto"/>
        <w:tblLook w:val="04A0" w:firstRow="1" w:lastRow="0" w:firstColumn="1" w:lastColumn="0" w:noHBand="0" w:noVBand="1"/>
      </w:tblPr>
      <w:tblGrid>
        <w:gridCol w:w="3055"/>
        <w:gridCol w:w="2250"/>
        <w:gridCol w:w="1980"/>
        <w:gridCol w:w="2065"/>
      </w:tblGrid>
      <w:tr w:rsidR="008F1D4E" w:rsidTr="00D95A09">
        <w:tc>
          <w:tcPr>
            <w:tcW w:w="9350" w:type="dxa"/>
            <w:gridSpan w:val="4"/>
          </w:tcPr>
          <w:p w:rsidR="008F1D4E" w:rsidRDefault="00004E3C" w:rsidP="00D95A09">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8F1D4E">
              <w:rPr>
                <w:rStyle w:val="Strong"/>
                <w:rFonts w:ascii="Arial" w:hAnsi="Arial" w:cs="Arial"/>
                <w:sz w:val="24"/>
                <w:szCs w:val="24"/>
              </w:rPr>
              <w:t>Adverse Event Reporting System (</w:t>
            </w:r>
            <w:r>
              <w:rPr>
                <w:rStyle w:val="Strong"/>
                <w:rFonts w:ascii="Arial" w:hAnsi="Arial" w:cs="Arial"/>
                <w:sz w:val="24"/>
                <w:szCs w:val="24"/>
              </w:rPr>
              <w:t>F</w:t>
            </w:r>
            <w:r w:rsidR="008F1D4E">
              <w:rPr>
                <w:rStyle w:val="Strong"/>
                <w:rFonts w:ascii="Arial" w:hAnsi="Arial" w:cs="Arial"/>
                <w:sz w:val="24"/>
                <w:szCs w:val="24"/>
              </w:rPr>
              <w:t xml:space="preserve">AERS) </w:t>
            </w:r>
          </w:p>
          <w:p w:rsidR="008F1D4E" w:rsidRPr="00146EE3" w:rsidRDefault="008F1D4E" w:rsidP="00D95A09">
            <w:pPr>
              <w:pStyle w:val="ListParagraph"/>
              <w:ind w:left="0"/>
              <w:jc w:val="center"/>
              <w:rPr>
                <w:rStyle w:val="Strong"/>
                <w:rFonts w:ascii="Arial" w:hAnsi="Arial" w:cs="Arial"/>
                <w:sz w:val="24"/>
                <w:szCs w:val="24"/>
              </w:rPr>
            </w:pPr>
            <w:r>
              <w:rPr>
                <w:rStyle w:val="Strong"/>
                <w:rFonts w:ascii="Arial" w:hAnsi="Arial" w:cs="Arial"/>
                <w:sz w:val="24"/>
                <w:szCs w:val="24"/>
              </w:rPr>
              <w:t>November 1, 1997 – February 3, 2011</w:t>
            </w:r>
          </w:p>
        </w:tc>
      </w:tr>
      <w:tr w:rsidR="008F1D4E" w:rsidTr="00D95A09">
        <w:tc>
          <w:tcPr>
            <w:tcW w:w="3055" w:type="dxa"/>
          </w:tcPr>
          <w:p w:rsidR="008F1D4E" w:rsidRDefault="008F1D4E" w:rsidP="00D95A09">
            <w:pPr>
              <w:pStyle w:val="ListParagraph"/>
              <w:ind w:left="0"/>
              <w:rPr>
                <w:rStyle w:val="Strong"/>
                <w:rFonts w:ascii="Arial" w:hAnsi="Arial" w:cs="Arial"/>
                <w:b w:val="0"/>
                <w:sz w:val="24"/>
                <w:szCs w:val="24"/>
              </w:rPr>
            </w:pPr>
          </w:p>
        </w:tc>
        <w:tc>
          <w:tcPr>
            <w:tcW w:w="2250" w:type="dxa"/>
          </w:tcPr>
          <w:p w:rsidR="008F1D4E" w:rsidRPr="00146EE3" w:rsidRDefault="008F1D4E" w:rsidP="00D95A09">
            <w:pPr>
              <w:pStyle w:val="ListParagraph"/>
              <w:ind w:left="0"/>
              <w:jc w:val="center"/>
              <w:rPr>
                <w:rStyle w:val="Strong"/>
                <w:rFonts w:ascii="Arial" w:hAnsi="Arial" w:cs="Arial"/>
                <w:sz w:val="24"/>
                <w:szCs w:val="24"/>
              </w:rPr>
            </w:pPr>
            <w:r w:rsidRPr="00146EE3">
              <w:rPr>
                <w:rStyle w:val="Strong"/>
                <w:rFonts w:ascii="Arial" w:hAnsi="Arial" w:cs="Arial"/>
                <w:sz w:val="24"/>
                <w:szCs w:val="24"/>
              </w:rPr>
              <w:t>Levaquin</w:t>
            </w:r>
          </w:p>
        </w:tc>
        <w:tc>
          <w:tcPr>
            <w:tcW w:w="1980" w:type="dxa"/>
          </w:tcPr>
          <w:p w:rsidR="008F1D4E" w:rsidRPr="00146EE3" w:rsidRDefault="008F1D4E" w:rsidP="00D95A09">
            <w:pPr>
              <w:pStyle w:val="ListParagraph"/>
              <w:ind w:left="0"/>
              <w:jc w:val="center"/>
              <w:rPr>
                <w:rStyle w:val="Strong"/>
                <w:rFonts w:ascii="Arial" w:hAnsi="Arial" w:cs="Arial"/>
                <w:sz w:val="24"/>
                <w:szCs w:val="24"/>
              </w:rPr>
            </w:pPr>
            <w:r w:rsidRPr="00146EE3">
              <w:rPr>
                <w:rStyle w:val="Strong"/>
                <w:rFonts w:ascii="Arial" w:hAnsi="Arial" w:cs="Arial"/>
                <w:sz w:val="24"/>
                <w:szCs w:val="24"/>
              </w:rPr>
              <w:t>Cipro</w:t>
            </w:r>
          </w:p>
        </w:tc>
        <w:tc>
          <w:tcPr>
            <w:tcW w:w="2065" w:type="dxa"/>
          </w:tcPr>
          <w:p w:rsidR="008F1D4E" w:rsidRPr="00146EE3" w:rsidRDefault="008F1D4E" w:rsidP="00D95A09">
            <w:pPr>
              <w:pStyle w:val="ListParagraph"/>
              <w:ind w:left="0"/>
              <w:jc w:val="center"/>
              <w:rPr>
                <w:rStyle w:val="Strong"/>
                <w:rFonts w:ascii="Arial" w:hAnsi="Arial" w:cs="Arial"/>
                <w:sz w:val="24"/>
                <w:szCs w:val="24"/>
              </w:rPr>
            </w:pPr>
            <w:proofErr w:type="spellStart"/>
            <w:r w:rsidRPr="00146EE3">
              <w:rPr>
                <w:rStyle w:val="Strong"/>
                <w:rFonts w:ascii="Arial" w:hAnsi="Arial" w:cs="Arial"/>
                <w:sz w:val="24"/>
                <w:szCs w:val="24"/>
              </w:rPr>
              <w:t>Avelox</w:t>
            </w:r>
            <w:proofErr w:type="spellEnd"/>
          </w:p>
        </w:tc>
      </w:tr>
      <w:tr w:rsidR="008F1D4E" w:rsidTr="00D95A09">
        <w:tc>
          <w:tcPr>
            <w:tcW w:w="3055" w:type="dxa"/>
          </w:tcPr>
          <w:p w:rsidR="008F1D4E" w:rsidRDefault="008F1D4E" w:rsidP="00D95A09">
            <w:pPr>
              <w:pStyle w:val="ListParagraph"/>
              <w:ind w:left="0"/>
              <w:rPr>
                <w:rStyle w:val="Strong"/>
                <w:rFonts w:ascii="Arial" w:hAnsi="Arial" w:cs="Arial"/>
                <w:b w:val="0"/>
                <w:sz w:val="24"/>
                <w:szCs w:val="24"/>
              </w:rPr>
            </w:pPr>
            <w:r>
              <w:rPr>
                <w:rStyle w:val="Strong"/>
                <w:rFonts w:ascii="Arial" w:hAnsi="Arial" w:cs="Arial"/>
                <w:b w:val="0"/>
                <w:sz w:val="24"/>
                <w:szCs w:val="24"/>
              </w:rPr>
              <w:t>Total Reactions</w:t>
            </w:r>
            <w:r w:rsidR="006A6823">
              <w:rPr>
                <w:rStyle w:val="Strong"/>
                <w:rFonts w:ascii="Arial" w:hAnsi="Arial" w:cs="Arial"/>
                <w:b w:val="0"/>
                <w:sz w:val="24"/>
                <w:szCs w:val="24"/>
              </w:rPr>
              <w:t xml:space="preserve"> Reported</w:t>
            </w:r>
          </w:p>
        </w:tc>
        <w:tc>
          <w:tcPr>
            <w:tcW w:w="2250" w:type="dxa"/>
          </w:tcPr>
          <w:p w:rsidR="008F1D4E" w:rsidRDefault="008F1D4E" w:rsidP="00D95A09">
            <w:pPr>
              <w:pStyle w:val="ListParagraph"/>
              <w:ind w:left="0"/>
              <w:jc w:val="center"/>
              <w:rPr>
                <w:rStyle w:val="Strong"/>
                <w:rFonts w:ascii="Arial" w:hAnsi="Arial" w:cs="Arial"/>
                <w:b w:val="0"/>
                <w:sz w:val="24"/>
                <w:szCs w:val="24"/>
              </w:rPr>
            </w:pPr>
            <w:r>
              <w:rPr>
                <w:rStyle w:val="Strong"/>
                <w:rFonts w:ascii="Arial" w:hAnsi="Arial" w:cs="Arial"/>
                <w:b w:val="0"/>
                <w:sz w:val="24"/>
                <w:szCs w:val="24"/>
              </w:rPr>
              <w:t>79,328</w:t>
            </w:r>
          </w:p>
        </w:tc>
        <w:tc>
          <w:tcPr>
            <w:tcW w:w="1980" w:type="dxa"/>
          </w:tcPr>
          <w:p w:rsidR="008F1D4E" w:rsidRDefault="008F1D4E" w:rsidP="00D95A09">
            <w:pPr>
              <w:pStyle w:val="ListParagraph"/>
              <w:ind w:left="0"/>
              <w:jc w:val="center"/>
              <w:rPr>
                <w:rStyle w:val="Strong"/>
                <w:rFonts w:ascii="Arial" w:hAnsi="Arial" w:cs="Arial"/>
                <w:b w:val="0"/>
                <w:sz w:val="24"/>
                <w:szCs w:val="24"/>
              </w:rPr>
            </w:pPr>
            <w:r>
              <w:rPr>
                <w:rStyle w:val="Strong"/>
                <w:rFonts w:ascii="Arial" w:hAnsi="Arial" w:cs="Arial"/>
                <w:b w:val="0"/>
                <w:sz w:val="24"/>
                <w:szCs w:val="24"/>
              </w:rPr>
              <w:t>67,498</w:t>
            </w:r>
          </w:p>
        </w:tc>
        <w:tc>
          <w:tcPr>
            <w:tcW w:w="2065" w:type="dxa"/>
          </w:tcPr>
          <w:p w:rsidR="008F1D4E" w:rsidRDefault="008F1D4E" w:rsidP="00D95A09">
            <w:pPr>
              <w:pStyle w:val="ListParagraph"/>
              <w:ind w:left="0"/>
              <w:jc w:val="center"/>
              <w:rPr>
                <w:rStyle w:val="Strong"/>
                <w:rFonts w:ascii="Arial" w:hAnsi="Arial" w:cs="Arial"/>
                <w:b w:val="0"/>
                <w:sz w:val="24"/>
                <w:szCs w:val="24"/>
              </w:rPr>
            </w:pPr>
            <w:r>
              <w:rPr>
                <w:rStyle w:val="Strong"/>
                <w:rFonts w:ascii="Arial" w:hAnsi="Arial" w:cs="Arial"/>
                <w:b w:val="0"/>
                <w:sz w:val="24"/>
                <w:szCs w:val="24"/>
              </w:rPr>
              <w:t>57,821</w:t>
            </w:r>
          </w:p>
        </w:tc>
      </w:tr>
    </w:tbl>
    <w:p w:rsidR="008F1D4E" w:rsidRDefault="008F1D4E" w:rsidP="008F1D4E">
      <w:pPr>
        <w:pStyle w:val="ListParagraph"/>
        <w:ind w:left="0"/>
        <w:rPr>
          <w:rStyle w:val="Strong"/>
          <w:rFonts w:ascii="Arial" w:hAnsi="Arial" w:cs="Arial"/>
          <w:b w:val="0"/>
          <w:sz w:val="24"/>
          <w:szCs w:val="24"/>
        </w:rPr>
      </w:pPr>
    </w:p>
    <w:p w:rsidR="0068024E" w:rsidRDefault="0068024E" w:rsidP="008F1D4E">
      <w:pPr>
        <w:pStyle w:val="ListParagraph"/>
        <w:ind w:left="0"/>
        <w:rPr>
          <w:rStyle w:val="Strong"/>
          <w:rFonts w:ascii="Arial" w:hAnsi="Arial" w:cs="Arial"/>
          <w:b w:val="0"/>
          <w:sz w:val="24"/>
          <w:szCs w:val="24"/>
        </w:rPr>
      </w:pPr>
    </w:p>
    <w:p w:rsidR="00CB2E45" w:rsidRDefault="00AC0696" w:rsidP="00CB2E45">
      <w:pPr>
        <w:pStyle w:val="ListParagraph"/>
        <w:ind w:left="0"/>
        <w:rPr>
          <w:rStyle w:val="Strong"/>
          <w:rFonts w:ascii="Arial" w:hAnsi="Arial" w:cs="Arial"/>
          <w:b w:val="0"/>
          <w:sz w:val="24"/>
          <w:szCs w:val="24"/>
        </w:rPr>
      </w:pPr>
      <w:r>
        <w:rPr>
          <w:rStyle w:val="Strong"/>
          <w:rFonts w:ascii="Arial" w:hAnsi="Arial" w:cs="Arial"/>
          <w:b w:val="0"/>
          <w:sz w:val="24"/>
          <w:szCs w:val="24"/>
        </w:rPr>
        <w:t>As indicated, there were 79,328 Levaquin Adverse Events reported</w:t>
      </w:r>
      <w:r w:rsidR="006D605F">
        <w:rPr>
          <w:rStyle w:val="Strong"/>
          <w:rFonts w:ascii="Arial" w:hAnsi="Arial" w:cs="Arial"/>
          <w:b w:val="0"/>
          <w:sz w:val="24"/>
          <w:szCs w:val="24"/>
        </w:rPr>
        <w:t xml:space="preserve"> from November 1, 1997 – February 3, 2011</w:t>
      </w:r>
      <w:r w:rsidR="00CB2E45">
        <w:rPr>
          <w:rStyle w:val="Strong"/>
          <w:rFonts w:ascii="Arial" w:hAnsi="Arial" w:cs="Arial"/>
          <w:b w:val="0"/>
          <w:sz w:val="24"/>
          <w:szCs w:val="24"/>
        </w:rPr>
        <w:t xml:space="preserve">.  It is estimated that only 1% to 10% of Adverse Events are actually reported to </w:t>
      </w:r>
      <w:r w:rsidR="00004E3C">
        <w:rPr>
          <w:rStyle w:val="Strong"/>
          <w:rFonts w:ascii="Arial" w:hAnsi="Arial" w:cs="Arial"/>
          <w:b w:val="0"/>
          <w:sz w:val="24"/>
          <w:szCs w:val="24"/>
        </w:rPr>
        <w:t>F</w:t>
      </w:r>
      <w:r w:rsidR="00CB2E45">
        <w:rPr>
          <w:rStyle w:val="Strong"/>
          <w:rFonts w:ascii="Arial" w:hAnsi="Arial" w:cs="Arial"/>
          <w:b w:val="0"/>
          <w:sz w:val="24"/>
          <w:szCs w:val="24"/>
        </w:rPr>
        <w:t>AERS.  Therefore, the following represents the</w:t>
      </w:r>
      <w:r w:rsidR="00462795">
        <w:rPr>
          <w:rStyle w:val="Strong"/>
          <w:rFonts w:ascii="Arial" w:hAnsi="Arial" w:cs="Arial"/>
          <w:b w:val="0"/>
          <w:sz w:val="24"/>
          <w:szCs w:val="24"/>
        </w:rPr>
        <w:t xml:space="preserve"> estimated</w:t>
      </w:r>
      <w:r w:rsidR="00CB2E45">
        <w:rPr>
          <w:rStyle w:val="Strong"/>
          <w:rFonts w:ascii="Arial" w:hAnsi="Arial" w:cs="Arial"/>
          <w:b w:val="0"/>
          <w:sz w:val="24"/>
          <w:szCs w:val="24"/>
        </w:rPr>
        <w:t xml:space="preserve"> range of actual Levaquin Adverse Events.</w:t>
      </w:r>
    </w:p>
    <w:p w:rsidR="006A6823" w:rsidRDefault="006A6823" w:rsidP="008F1D4E">
      <w:pPr>
        <w:pStyle w:val="ListParagraph"/>
        <w:ind w:left="0"/>
        <w:rPr>
          <w:rStyle w:val="Strong"/>
          <w:rFonts w:ascii="Arial" w:hAnsi="Arial" w:cs="Arial"/>
          <w:b w:val="0"/>
          <w:sz w:val="24"/>
          <w:szCs w:val="24"/>
        </w:rPr>
      </w:pPr>
    </w:p>
    <w:p w:rsidR="00CB2E45" w:rsidRDefault="00CB2E45" w:rsidP="00CB2E45">
      <w:pPr>
        <w:pStyle w:val="ListParagraph"/>
        <w:ind w:left="0"/>
        <w:rPr>
          <w:rStyle w:val="Strong"/>
          <w:rFonts w:ascii="Arial" w:hAnsi="Arial" w:cs="Arial"/>
          <w:b w:val="0"/>
          <w:sz w:val="24"/>
          <w:szCs w:val="24"/>
        </w:rPr>
      </w:pPr>
    </w:p>
    <w:tbl>
      <w:tblPr>
        <w:tblStyle w:val="TableGrid"/>
        <w:tblW w:w="9355" w:type="dxa"/>
        <w:tblLook w:val="04A0" w:firstRow="1" w:lastRow="0" w:firstColumn="1" w:lastColumn="0" w:noHBand="0" w:noVBand="1"/>
      </w:tblPr>
      <w:tblGrid>
        <w:gridCol w:w="3145"/>
        <w:gridCol w:w="3240"/>
        <w:gridCol w:w="2970"/>
      </w:tblGrid>
      <w:tr w:rsidR="00A157AA" w:rsidTr="004469AB">
        <w:tc>
          <w:tcPr>
            <w:tcW w:w="9355" w:type="dxa"/>
            <w:gridSpan w:val="3"/>
          </w:tcPr>
          <w:p w:rsidR="00A157AA" w:rsidRDefault="00004E3C" w:rsidP="00A157AA">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A157AA">
              <w:rPr>
                <w:rStyle w:val="Strong"/>
                <w:rFonts w:ascii="Arial" w:hAnsi="Arial" w:cs="Arial"/>
                <w:sz w:val="24"/>
                <w:szCs w:val="24"/>
              </w:rPr>
              <w:t>Adverse Event Reporting System (</w:t>
            </w:r>
            <w:r>
              <w:rPr>
                <w:rStyle w:val="Strong"/>
                <w:rFonts w:ascii="Arial" w:hAnsi="Arial" w:cs="Arial"/>
                <w:sz w:val="24"/>
                <w:szCs w:val="24"/>
              </w:rPr>
              <w:t>F</w:t>
            </w:r>
            <w:r w:rsidR="00A157AA">
              <w:rPr>
                <w:rStyle w:val="Strong"/>
                <w:rFonts w:ascii="Arial" w:hAnsi="Arial" w:cs="Arial"/>
                <w:sz w:val="24"/>
                <w:szCs w:val="24"/>
              </w:rPr>
              <w:t xml:space="preserve">AERS) </w:t>
            </w:r>
          </w:p>
          <w:p w:rsidR="00A157AA" w:rsidRDefault="00A157AA" w:rsidP="00A157AA">
            <w:pPr>
              <w:pStyle w:val="ListParagraph"/>
              <w:ind w:left="0"/>
              <w:jc w:val="center"/>
              <w:rPr>
                <w:rStyle w:val="Strong"/>
                <w:rFonts w:ascii="Arial" w:hAnsi="Arial" w:cs="Arial"/>
                <w:sz w:val="24"/>
                <w:szCs w:val="24"/>
              </w:rPr>
            </w:pPr>
            <w:r>
              <w:rPr>
                <w:rStyle w:val="Strong"/>
                <w:rFonts w:ascii="Arial" w:hAnsi="Arial" w:cs="Arial"/>
                <w:sz w:val="24"/>
                <w:szCs w:val="24"/>
              </w:rPr>
              <w:t>November 1, 1997 – February 3, 2011</w:t>
            </w:r>
          </w:p>
        </w:tc>
      </w:tr>
      <w:tr w:rsidR="00462795" w:rsidTr="00A157AA">
        <w:tc>
          <w:tcPr>
            <w:tcW w:w="3145" w:type="dxa"/>
          </w:tcPr>
          <w:p w:rsidR="00004E3C" w:rsidRDefault="00004E3C" w:rsidP="00BF2F87">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462795" w:rsidRDefault="00462795" w:rsidP="00BF2F87">
            <w:pPr>
              <w:pStyle w:val="ListParagraph"/>
              <w:ind w:left="0"/>
              <w:jc w:val="center"/>
              <w:rPr>
                <w:rStyle w:val="Strong"/>
                <w:rFonts w:ascii="Arial" w:hAnsi="Arial" w:cs="Arial"/>
                <w:sz w:val="24"/>
                <w:szCs w:val="24"/>
              </w:rPr>
            </w:pPr>
            <w:r>
              <w:rPr>
                <w:rStyle w:val="Strong"/>
                <w:rFonts w:ascii="Arial" w:hAnsi="Arial" w:cs="Arial"/>
                <w:sz w:val="24"/>
                <w:szCs w:val="24"/>
              </w:rPr>
              <w:t>Adverse Events</w:t>
            </w:r>
          </w:p>
          <w:p w:rsidR="00462795" w:rsidRDefault="00462795" w:rsidP="00BF2F87">
            <w:pPr>
              <w:pStyle w:val="ListParagraph"/>
              <w:ind w:left="0"/>
              <w:jc w:val="center"/>
              <w:rPr>
                <w:rStyle w:val="Strong"/>
                <w:rFonts w:ascii="Arial" w:hAnsi="Arial" w:cs="Arial"/>
                <w:sz w:val="24"/>
                <w:szCs w:val="24"/>
              </w:rPr>
            </w:pPr>
            <w:r>
              <w:rPr>
                <w:rStyle w:val="Strong"/>
                <w:rFonts w:ascii="Arial" w:hAnsi="Arial" w:cs="Arial"/>
                <w:sz w:val="24"/>
                <w:szCs w:val="24"/>
              </w:rPr>
              <w:t>Actual</w:t>
            </w:r>
          </w:p>
          <w:p w:rsidR="00462795" w:rsidRPr="00146EE3" w:rsidRDefault="00462795" w:rsidP="00BF2F87">
            <w:pPr>
              <w:pStyle w:val="ListParagraph"/>
              <w:ind w:left="0"/>
              <w:jc w:val="center"/>
              <w:rPr>
                <w:rStyle w:val="Strong"/>
                <w:rFonts w:ascii="Arial" w:hAnsi="Arial" w:cs="Arial"/>
                <w:sz w:val="24"/>
                <w:szCs w:val="24"/>
              </w:rPr>
            </w:pPr>
            <w:r>
              <w:rPr>
                <w:rStyle w:val="Strong"/>
                <w:rFonts w:ascii="Arial" w:hAnsi="Arial" w:cs="Arial"/>
                <w:sz w:val="24"/>
                <w:szCs w:val="24"/>
              </w:rPr>
              <w:t>Reported</w:t>
            </w:r>
          </w:p>
        </w:tc>
        <w:tc>
          <w:tcPr>
            <w:tcW w:w="3240" w:type="dxa"/>
          </w:tcPr>
          <w:p w:rsidR="00004E3C" w:rsidRDefault="00004E3C" w:rsidP="00BF2F87">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A157AA" w:rsidRDefault="00A157AA" w:rsidP="00BF2F87">
            <w:pPr>
              <w:pStyle w:val="ListParagraph"/>
              <w:ind w:left="0"/>
              <w:jc w:val="center"/>
              <w:rPr>
                <w:rStyle w:val="Strong"/>
                <w:rFonts w:ascii="Arial" w:hAnsi="Arial" w:cs="Arial"/>
                <w:sz w:val="24"/>
                <w:szCs w:val="24"/>
              </w:rPr>
            </w:pPr>
            <w:r>
              <w:rPr>
                <w:rStyle w:val="Strong"/>
                <w:rFonts w:ascii="Arial" w:hAnsi="Arial" w:cs="Arial"/>
                <w:sz w:val="24"/>
                <w:szCs w:val="24"/>
              </w:rPr>
              <w:t>Adverse Events</w:t>
            </w:r>
          </w:p>
          <w:p w:rsidR="00462795" w:rsidRPr="00146EE3" w:rsidRDefault="00462795" w:rsidP="00BF2F87">
            <w:pPr>
              <w:pStyle w:val="ListParagraph"/>
              <w:ind w:left="0"/>
              <w:jc w:val="center"/>
              <w:rPr>
                <w:rStyle w:val="Strong"/>
                <w:rFonts w:ascii="Arial" w:hAnsi="Arial" w:cs="Arial"/>
                <w:sz w:val="24"/>
                <w:szCs w:val="24"/>
              </w:rPr>
            </w:pPr>
            <w:r>
              <w:rPr>
                <w:rStyle w:val="Strong"/>
                <w:rFonts w:ascii="Arial" w:hAnsi="Arial" w:cs="Arial"/>
                <w:sz w:val="24"/>
                <w:szCs w:val="24"/>
              </w:rPr>
              <w:t>Assuming Only 10% Were Reported</w:t>
            </w:r>
          </w:p>
        </w:tc>
        <w:tc>
          <w:tcPr>
            <w:tcW w:w="2970" w:type="dxa"/>
          </w:tcPr>
          <w:p w:rsidR="00004E3C" w:rsidRDefault="00004E3C" w:rsidP="00BF2F87">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A157AA" w:rsidRDefault="00A157AA" w:rsidP="00BF2F87">
            <w:pPr>
              <w:pStyle w:val="ListParagraph"/>
              <w:ind w:left="0"/>
              <w:jc w:val="center"/>
              <w:rPr>
                <w:rStyle w:val="Strong"/>
                <w:rFonts w:ascii="Arial" w:hAnsi="Arial" w:cs="Arial"/>
                <w:sz w:val="24"/>
                <w:szCs w:val="24"/>
              </w:rPr>
            </w:pPr>
            <w:r>
              <w:rPr>
                <w:rStyle w:val="Strong"/>
                <w:rFonts w:ascii="Arial" w:hAnsi="Arial" w:cs="Arial"/>
                <w:sz w:val="24"/>
                <w:szCs w:val="24"/>
              </w:rPr>
              <w:t>Adverse Events</w:t>
            </w:r>
          </w:p>
          <w:p w:rsidR="00462795" w:rsidRPr="00146EE3" w:rsidRDefault="00462795" w:rsidP="00BF2F87">
            <w:pPr>
              <w:pStyle w:val="ListParagraph"/>
              <w:ind w:left="0"/>
              <w:jc w:val="center"/>
              <w:rPr>
                <w:rStyle w:val="Strong"/>
                <w:rFonts w:ascii="Arial" w:hAnsi="Arial" w:cs="Arial"/>
                <w:sz w:val="24"/>
                <w:szCs w:val="24"/>
              </w:rPr>
            </w:pPr>
            <w:r>
              <w:rPr>
                <w:rStyle w:val="Strong"/>
                <w:rFonts w:ascii="Arial" w:hAnsi="Arial" w:cs="Arial"/>
                <w:sz w:val="24"/>
                <w:szCs w:val="24"/>
              </w:rPr>
              <w:t>Assuming Only 1% Were Reported</w:t>
            </w:r>
          </w:p>
        </w:tc>
      </w:tr>
      <w:tr w:rsidR="00462795" w:rsidTr="00A157AA">
        <w:tc>
          <w:tcPr>
            <w:tcW w:w="3145" w:type="dxa"/>
          </w:tcPr>
          <w:p w:rsidR="00462795" w:rsidRDefault="00462795" w:rsidP="00BF2F87">
            <w:pPr>
              <w:pStyle w:val="ListParagraph"/>
              <w:ind w:left="0"/>
              <w:jc w:val="center"/>
              <w:rPr>
                <w:rStyle w:val="Strong"/>
                <w:rFonts w:ascii="Arial" w:hAnsi="Arial" w:cs="Arial"/>
                <w:b w:val="0"/>
                <w:sz w:val="24"/>
                <w:szCs w:val="24"/>
              </w:rPr>
            </w:pPr>
          </w:p>
          <w:p w:rsidR="00462795" w:rsidRDefault="00462795"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79,328</w:t>
            </w:r>
          </w:p>
        </w:tc>
        <w:tc>
          <w:tcPr>
            <w:tcW w:w="3240" w:type="dxa"/>
          </w:tcPr>
          <w:p w:rsidR="00462795" w:rsidRDefault="00462795" w:rsidP="00BF2F87">
            <w:pPr>
              <w:pStyle w:val="ListParagraph"/>
              <w:ind w:left="0"/>
              <w:jc w:val="center"/>
              <w:rPr>
                <w:rStyle w:val="Strong"/>
                <w:rFonts w:ascii="Arial" w:hAnsi="Arial" w:cs="Arial"/>
                <w:b w:val="0"/>
                <w:sz w:val="24"/>
                <w:szCs w:val="24"/>
              </w:rPr>
            </w:pPr>
          </w:p>
          <w:p w:rsidR="00462795" w:rsidRDefault="00462795"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793,280</w:t>
            </w:r>
          </w:p>
        </w:tc>
        <w:tc>
          <w:tcPr>
            <w:tcW w:w="2970" w:type="dxa"/>
          </w:tcPr>
          <w:p w:rsidR="00462795" w:rsidRDefault="00462795" w:rsidP="00BF2F87">
            <w:pPr>
              <w:pStyle w:val="ListParagraph"/>
              <w:ind w:left="0"/>
              <w:jc w:val="center"/>
              <w:rPr>
                <w:rStyle w:val="Strong"/>
                <w:rFonts w:ascii="Arial" w:hAnsi="Arial" w:cs="Arial"/>
                <w:b w:val="0"/>
                <w:sz w:val="24"/>
                <w:szCs w:val="24"/>
              </w:rPr>
            </w:pPr>
          </w:p>
          <w:p w:rsidR="00462795" w:rsidRDefault="00462795" w:rsidP="00CB2E45">
            <w:pPr>
              <w:pStyle w:val="ListParagraph"/>
              <w:ind w:left="0"/>
              <w:jc w:val="center"/>
              <w:rPr>
                <w:rStyle w:val="Strong"/>
                <w:rFonts w:ascii="Arial" w:hAnsi="Arial" w:cs="Arial"/>
                <w:b w:val="0"/>
                <w:sz w:val="24"/>
                <w:szCs w:val="24"/>
              </w:rPr>
            </w:pPr>
            <w:r>
              <w:rPr>
                <w:rStyle w:val="Strong"/>
                <w:rFonts w:ascii="Arial" w:hAnsi="Arial" w:cs="Arial"/>
                <w:b w:val="0"/>
                <w:sz w:val="24"/>
                <w:szCs w:val="24"/>
              </w:rPr>
              <w:t>7,932,800</w:t>
            </w:r>
          </w:p>
        </w:tc>
      </w:tr>
    </w:tbl>
    <w:p w:rsidR="00CB2E45" w:rsidRDefault="00CB2E45" w:rsidP="00CB2E45">
      <w:pPr>
        <w:pStyle w:val="ListParagraph"/>
        <w:ind w:left="0"/>
        <w:rPr>
          <w:rFonts w:ascii="Arial" w:hAnsi="Arial" w:cs="Arial"/>
          <w:bCs/>
          <w:sz w:val="24"/>
          <w:szCs w:val="24"/>
        </w:rPr>
      </w:pPr>
    </w:p>
    <w:p w:rsidR="00CB2E45" w:rsidRDefault="00CB2E45" w:rsidP="008F1D4E">
      <w:pPr>
        <w:pStyle w:val="ListParagraph"/>
        <w:ind w:left="0"/>
        <w:rPr>
          <w:rStyle w:val="Strong"/>
          <w:rFonts w:ascii="Arial" w:hAnsi="Arial" w:cs="Arial"/>
          <w:b w:val="0"/>
          <w:sz w:val="24"/>
          <w:szCs w:val="24"/>
        </w:rPr>
      </w:pPr>
    </w:p>
    <w:p w:rsidR="00D95A09" w:rsidRDefault="008F1D4E" w:rsidP="008F1D4E">
      <w:pPr>
        <w:pStyle w:val="ListParagraph"/>
        <w:ind w:left="0"/>
        <w:rPr>
          <w:rStyle w:val="Strong"/>
          <w:rFonts w:ascii="Arial" w:hAnsi="Arial" w:cs="Arial"/>
          <w:b w:val="0"/>
          <w:sz w:val="24"/>
          <w:szCs w:val="24"/>
        </w:rPr>
      </w:pPr>
      <w:proofErr w:type="gramStart"/>
      <w:r>
        <w:rPr>
          <w:rStyle w:val="Strong"/>
          <w:rFonts w:ascii="Arial" w:hAnsi="Arial" w:cs="Arial"/>
          <w:b w:val="0"/>
          <w:sz w:val="24"/>
          <w:szCs w:val="24"/>
        </w:rPr>
        <w:t>Because “Mitochondrial Toxicity” can cause such widespread symptoms and is associated with a</w:t>
      </w:r>
      <w:r w:rsidR="00443F18">
        <w:rPr>
          <w:rStyle w:val="Strong"/>
          <w:rFonts w:ascii="Arial" w:hAnsi="Arial" w:cs="Arial"/>
          <w:b w:val="0"/>
          <w:sz w:val="24"/>
          <w:szCs w:val="24"/>
        </w:rPr>
        <w:t xml:space="preserve"> wide</w:t>
      </w:r>
      <w:r>
        <w:rPr>
          <w:rStyle w:val="Strong"/>
          <w:rFonts w:ascii="Arial" w:hAnsi="Arial" w:cs="Arial"/>
          <w:b w:val="0"/>
          <w:sz w:val="24"/>
          <w:szCs w:val="24"/>
        </w:rPr>
        <w:t xml:space="preserve"> range of neurological </w:t>
      </w:r>
      <w:r w:rsidR="00214F31">
        <w:rPr>
          <w:rStyle w:val="Strong"/>
          <w:rFonts w:ascii="Arial" w:hAnsi="Arial" w:cs="Arial"/>
          <w:b w:val="0"/>
          <w:sz w:val="24"/>
          <w:szCs w:val="24"/>
        </w:rPr>
        <w:t>disorders, e.g., “</w:t>
      </w:r>
      <w:r w:rsidRPr="00214F31">
        <w:rPr>
          <w:rStyle w:val="Strong"/>
          <w:rFonts w:ascii="Arial" w:hAnsi="Arial" w:cs="Arial"/>
          <w:b w:val="0"/>
          <w:sz w:val="24"/>
          <w:szCs w:val="24"/>
        </w:rPr>
        <w:t>disorders of the brain, optic neuropathy, neuropathic pain, hearing loss, muscle weakness, cardiomyopathy, and lactic acidosis.</w:t>
      </w:r>
      <w:proofErr w:type="gramEnd"/>
      <w:r w:rsidRPr="00214F31">
        <w:rPr>
          <w:rStyle w:val="Strong"/>
          <w:rFonts w:ascii="Arial" w:hAnsi="Arial" w:cs="Arial"/>
          <w:b w:val="0"/>
          <w:sz w:val="24"/>
          <w:szCs w:val="24"/>
        </w:rPr>
        <w:t xml:space="preserve">  Neurodegenerative diseases, like Parkinson’s, Alzheimer’s and amyotrophic lateral sclerosis (ALS) have been associated with…</w:t>
      </w:r>
      <w:r w:rsidR="00214F31">
        <w:rPr>
          <w:rStyle w:val="Strong"/>
          <w:rFonts w:ascii="Arial" w:hAnsi="Arial" w:cs="Arial"/>
          <w:b w:val="0"/>
          <w:sz w:val="24"/>
          <w:szCs w:val="24"/>
        </w:rPr>
        <w:t>” (</w:t>
      </w:r>
      <w:r w:rsidR="00214F31" w:rsidRPr="00214F31">
        <w:rPr>
          <w:rStyle w:val="Strong"/>
          <w:rFonts w:ascii="Arial" w:hAnsi="Arial" w:cs="Arial"/>
          <w:b w:val="0"/>
          <w:sz w:val="24"/>
          <w:szCs w:val="24"/>
        </w:rPr>
        <w:t>FDA, 2013, page 12)</w:t>
      </w:r>
      <w:r w:rsidR="00004E3C">
        <w:rPr>
          <w:rStyle w:val="Strong"/>
          <w:rFonts w:ascii="Arial" w:hAnsi="Arial" w:cs="Arial"/>
          <w:b w:val="0"/>
          <w:sz w:val="24"/>
          <w:szCs w:val="24"/>
        </w:rPr>
        <w:t>,</w:t>
      </w:r>
      <w:r w:rsidR="00214F31">
        <w:rPr>
          <w:rStyle w:val="Strong"/>
          <w:rFonts w:ascii="Arial" w:hAnsi="Arial" w:cs="Arial"/>
          <w:b w:val="0"/>
          <w:sz w:val="24"/>
          <w:szCs w:val="24"/>
        </w:rPr>
        <w:t xml:space="preserve"> </w:t>
      </w:r>
      <w:r w:rsidR="00443F18">
        <w:rPr>
          <w:rStyle w:val="Strong"/>
          <w:rFonts w:ascii="Arial" w:hAnsi="Arial" w:cs="Arial"/>
          <w:b w:val="0"/>
          <w:sz w:val="24"/>
          <w:szCs w:val="24"/>
        </w:rPr>
        <w:t xml:space="preserve">it is challenging to specifically identify </w:t>
      </w:r>
      <w:r w:rsidR="00214F31">
        <w:rPr>
          <w:rStyle w:val="Strong"/>
          <w:rFonts w:ascii="Arial" w:hAnsi="Arial" w:cs="Arial"/>
          <w:b w:val="0"/>
          <w:sz w:val="24"/>
          <w:szCs w:val="24"/>
        </w:rPr>
        <w:t>the number of</w:t>
      </w:r>
      <w:r w:rsidR="00443F18">
        <w:rPr>
          <w:rStyle w:val="Strong"/>
          <w:rFonts w:ascii="Arial" w:hAnsi="Arial" w:cs="Arial"/>
          <w:b w:val="0"/>
          <w:sz w:val="24"/>
          <w:szCs w:val="24"/>
        </w:rPr>
        <w:t xml:space="preserve"> adverse events </w:t>
      </w:r>
      <w:r w:rsidR="00214F31">
        <w:rPr>
          <w:rStyle w:val="Strong"/>
          <w:rFonts w:ascii="Arial" w:hAnsi="Arial" w:cs="Arial"/>
          <w:b w:val="0"/>
          <w:sz w:val="24"/>
          <w:szCs w:val="24"/>
        </w:rPr>
        <w:t>link</w:t>
      </w:r>
      <w:r w:rsidR="00443F18">
        <w:rPr>
          <w:rStyle w:val="Strong"/>
          <w:rFonts w:ascii="Arial" w:hAnsi="Arial" w:cs="Arial"/>
          <w:b w:val="0"/>
          <w:sz w:val="24"/>
          <w:szCs w:val="24"/>
        </w:rPr>
        <w:t>ed</w:t>
      </w:r>
      <w:r w:rsidR="00214F31">
        <w:rPr>
          <w:rStyle w:val="Strong"/>
          <w:rFonts w:ascii="Arial" w:hAnsi="Arial" w:cs="Arial"/>
          <w:b w:val="0"/>
          <w:sz w:val="24"/>
          <w:szCs w:val="24"/>
        </w:rPr>
        <w:t xml:space="preserve"> directly to “Mitochondrial Toxicity.”</w:t>
      </w:r>
      <w:r w:rsidR="00443F18">
        <w:rPr>
          <w:rStyle w:val="Strong"/>
          <w:rFonts w:ascii="Arial" w:hAnsi="Arial" w:cs="Arial"/>
          <w:b w:val="0"/>
          <w:sz w:val="24"/>
          <w:szCs w:val="24"/>
        </w:rPr>
        <w:t xml:space="preserve">  </w:t>
      </w:r>
    </w:p>
    <w:p w:rsidR="00D95A09" w:rsidRDefault="00D95A09" w:rsidP="008F1D4E">
      <w:pPr>
        <w:pStyle w:val="ListParagraph"/>
        <w:ind w:left="0"/>
        <w:rPr>
          <w:rStyle w:val="Strong"/>
          <w:rFonts w:ascii="Arial" w:hAnsi="Arial" w:cs="Arial"/>
          <w:b w:val="0"/>
          <w:sz w:val="24"/>
          <w:szCs w:val="24"/>
        </w:rPr>
      </w:pPr>
    </w:p>
    <w:p w:rsidR="00F93F76" w:rsidRDefault="0068024E" w:rsidP="008F1D4E">
      <w:pPr>
        <w:pStyle w:val="ListParagraph"/>
        <w:ind w:left="0"/>
        <w:rPr>
          <w:rStyle w:val="Strong"/>
          <w:rFonts w:ascii="Arial" w:hAnsi="Arial" w:cs="Arial"/>
          <w:b w:val="0"/>
          <w:sz w:val="24"/>
          <w:szCs w:val="24"/>
        </w:rPr>
      </w:pPr>
      <w:r>
        <w:rPr>
          <w:rStyle w:val="Strong"/>
          <w:rFonts w:ascii="Arial" w:hAnsi="Arial" w:cs="Arial"/>
          <w:b w:val="0"/>
          <w:sz w:val="24"/>
          <w:szCs w:val="24"/>
        </w:rPr>
        <w:t xml:space="preserve">In the </w:t>
      </w:r>
      <w:r w:rsidR="00D95A09">
        <w:rPr>
          <w:rStyle w:val="Strong"/>
          <w:rFonts w:ascii="Arial" w:hAnsi="Arial" w:cs="Arial"/>
          <w:b w:val="0"/>
          <w:sz w:val="24"/>
          <w:szCs w:val="24"/>
        </w:rPr>
        <w:t xml:space="preserve">Levaquin </w:t>
      </w:r>
      <w:r w:rsidR="00F93F76">
        <w:rPr>
          <w:rStyle w:val="Strong"/>
          <w:rFonts w:ascii="Arial" w:hAnsi="Arial" w:cs="Arial"/>
          <w:b w:val="0"/>
          <w:sz w:val="24"/>
          <w:szCs w:val="24"/>
        </w:rPr>
        <w:t>F</w:t>
      </w:r>
      <w:r w:rsidR="00D95A09">
        <w:rPr>
          <w:rStyle w:val="Strong"/>
          <w:rFonts w:ascii="Arial" w:hAnsi="Arial" w:cs="Arial"/>
          <w:b w:val="0"/>
          <w:sz w:val="24"/>
          <w:szCs w:val="24"/>
        </w:rPr>
        <w:t>AERS data</w:t>
      </w:r>
      <w:r>
        <w:rPr>
          <w:rStyle w:val="Strong"/>
          <w:rFonts w:ascii="Arial" w:hAnsi="Arial" w:cs="Arial"/>
          <w:b w:val="0"/>
          <w:sz w:val="24"/>
          <w:szCs w:val="24"/>
        </w:rPr>
        <w:t xml:space="preserve"> referenced above from November 1, 1997 – February 3, 2011</w:t>
      </w:r>
      <w:r w:rsidR="00D95A09">
        <w:rPr>
          <w:rStyle w:val="Strong"/>
          <w:rFonts w:ascii="Arial" w:hAnsi="Arial" w:cs="Arial"/>
          <w:b w:val="0"/>
          <w:sz w:val="24"/>
          <w:szCs w:val="24"/>
        </w:rPr>
        <w:t>, the top five reported adverse events are related to tendon issues.  The next nine</w:t>
      </w:r>
      <w:r w:rsidR="00004E3C">
        <w:rPr>
          <w:rStyle w:val="Strong"/>
          <w:rFonts w:ascii="Arial" w:hAnsi="Arial" w:cs="Arial"/>
          <w:b w:val="0"/>
          <w:sz w:val="24"/>
          <w:szCs w:val="24"/>
        </w:rPr>
        <w:t xml:space="preserve"> Levaquin</w:t>
      </w:r>
      <w:r w:rsidR="00D95A09">
        <w:rPr>
          <w:rStyle w:val="Strong"/>
          <w:rFonts w:ascii="Arial" w:hAnsi="Arial" w:cs="Arial"/>
          <w:b w:val="0"/>
          <w:sz w:val="24"/>
          <w:szCs w:val="24"/>
        </w:rPr>
        <w:t xml:space="preserve"> </w:t>
      </w:r>
      <w:r w:rsidR="00004E3C">
        <w:rPr>
          <w:rStyle w:val="Strong"/>
          <w:rFonts w:ascii="Arial" w:hAnsi="Arial" w:cs="Arial"/>
          <w:b w:val="0"/>
          <w:sz w:val="24"/>
          <w:szCs w:val="24"/>
        </w:rPr>
        <w:t>reported adverse event</w:t>
      </w:r>
      <w:r w:rsidR="00D95A09">
        <w:rPr>
          <w:rStyle w:val="Strong"/>
          <w:rFonts w:ascii="Arial" w:hAnsi="Arial" w:cs="Arial"/>
          <w:b w:val="0"/>
          <w:sz w:val="24"/>
          <w:szCs w:val="24"/>
        </w:rPr>
        <w:t>s are ones which may</w:t>
      </w:r>
      <w:r w:rsidR="006D605F">
        <w:rPr>
          <w:rStyle w:val="Strong"/>
          <w:rFonts w:ascii="Arial" w:hAnsi="Arial" w:cs="Arial"/>
          <w:b w:val="0"/>
          <w:sz w:val="24"/>
          <w:szCs w:val="24"/>
        </w:rPr>
        <w:t>,</w:t>
      </w:r>
      <w:r w:rsidR="00D95A09">
        <w:rPr>
          <w:rStyle w:val="Strong"/>
          <w:rFonts w:ascii="Arial" w:hAnsi="Arial" w:cs="Arial"/>
          <w:b w:val="0"/>
          <w:sz w:val="24"/>
          <w:szCs w:val="24"/>
        </w:rPr>
        <w:t xml:space="preserve"> or may not</w:t>
      </w:r>
      <w:r w:rsidR="006D605F">
        <w:rPr>
          <w:rStyle w:val="Strong"/>
          <w:rFonts w:ascii="Arial" w:hAnsi="Arial" w:cs="Arial"/>
          <w:b w:val="0"/>
          <w:sz w:val="24"/>
          <w:szCs w:val="24"/>
        </w:rPr>
        <w:t>,</w:t>
      </w:r>
      <w:r w:rsidR="00D95A09">
        <w:rPr>
          <w:rStyle w:val="Strong"/>
          <w:rFonts w:ascii="Arial" w:hAnsi="Arial" w:cs="Arial"/>
          <w:b w:val="0"/>
          <w:sz w:val="24"/>
          <w:szCs w:val="24"/>
        </w:rPr>
        <w:t xml:space="preserve"> be related to “Mitochondrial Toxicity” and are</w:t>
      </w:r>
      <w:r>
        <w:rPr>
          <w:rStyle w:val="Strong"/>
          <w:rFonts w:ascii="Arial" w:hAnsi="Arial" w:cs="Arial"/>
          <w:b w:val="0"/>
          <w:sz w:val="24"/>
          <w:szCs w:val="24"/>
        </w:rPr>
        <w:t xml:space="preserve"> described</w:t>
      </w:r>
      <w:r w:rsidR="00D95A09">
        <w:rPr>
          <w:rStyle w:val="Strong"/>
          <w:rFonts w:ascii="Arial" w:hAnsi="Arial" w:cs="Arial"/>
          <w:b w:val="0"/>
          <w:sz w:val="24"/>
          <w:szCs w:val="24"/>
        </w:rPr>
        <w:t xml:space="preserve"> as follows:</w:t>
      </w:r>
    </w:p>
    <w:p w:rsidR="00213F63" w:rsidRDefault="00213F63" w:rsidP="008F1D4E">
      <w:pPr>
        <w:pStyle w:val="ListParagraph"/>
        <w:ind w:left="0"/>
        <w:rPr>
          <w:rStyle w:val="Strong"/>
          <w:rFonts w:ascii="Arial" w:hAnsi="Arial" w:cs="Arial"/>
          <w:b w:val="0"/>
          <w:sz w:val="24"/>
          <w:szCs w:val="24"/>
        </w:rPr>
      </w:pPr>
    </w:p>
    <w:p w:rsidR="005C324B" w:rsidRDefault="005C324B">
      <w:pPr>
        <w:rPr>
          <w:rStyle w:val="Strong"/>
          <w:rFonts w:ascii="Arial" w:hAnsi="Arial" w:cs="Arial"/>
          <w:b w:val="0"/>
          <w:sz w:val="24"/>
          <w:szCs w:val="24"/>
        </w:rPr>
      </w:pPr>
      <w:r>
        <w:rPr>
          <w:rStyle w:val="Strong"/>
          <w:rFonts w:ascii="Arial" w:hAnsi="Arial" w:cs="Arial"/>
          <w:b w:val="0"/>
          <w:sz w:val="24"/>
          <w:szCs w:val="24"/>
        </w:rPr>
        <w:br w:type="page"/>
      </w:r>
    </w:p>
    <w:p w:rsidR="00213F63" w:rsidRDefault="00213F63" w:rsidP="008F1D4E">
      <w:pPr>
        <w:pStyle w:val="ListParagraph"/>
        <w:ind w:left="0"/>
        <w:rPr>
          <w:rStyle w:val="Strong"/>
          <w:rFonts w:ascii="Arial" w:hAnsi="Arial" w:cs="Arial"/>
          <w:b w:val="0"/>
          <w:sz w:val="24"/>
          <w:szCs w:val="24"/>
        </w:rPr>
      </w:pPr>
    </w:p>
    <w:tbl>
      <w:tblPr>
        <w:tblStyle w:val="TableGrid"/>
        <w:tblW w:w="0" w:type="auto"/>
        <w:tblInd w:w="720" w:type="dxa"/>
        <w:tblLook w:val="04A0" w:firstRow="1" w:lastRow="0" w:firstColumn="1" w:lastColumn="0" w:noHBand="0" w:noVBand="1"/>
      </w:tblPr>
      <w:tblGrid>
        <w:gridCol w:w="4585"/>
        <w:gridCol w:w="4045"/>
      </w:tblGrid>
      <w:tr w:rsidR="006D605F" w:rsidTr="00AC0132">
        <w:tc>
          <w:tcPr>
            <w:tcW w:w="8630" w:type="dxa"/>
            <w:gridSpan w:val="2"/>
          </w:tcPr>
          <w:p w:rsidR="00CB268B" w:rsidRDefault="00F93F76" w:rsidP="00CB268B">
            <w:pPr>
              <w:pStyle w:val="ListParagraph"/>
              <w:ind w:left="0"/>
              <w:jc w:val="center"/>
              <w:rPr>
                <w:rStyle w:val="Strong"/>
                <w:rFonts w:ascii="Arial" w:hAnsi="Arial" w:cs="Arial"/>
                <w:sz w:val="24"/>
                <w:szCs w:val="24"/>
              </w:rPr>
            </w:pPr>
            <w:r>
              <w:rPr>
                <w:rStyle w:val="Strong"/>
                <w:rFonts w:ascii="Arial" w:hAnsi="Arial" w:cs="Arial"/>
                <w:b w:val="0"/>
                <w:sz w:val="24"/>
                <w:szCs w:val="24"/>
              </w:rPr>
              <w:br w:type="page"/>
            </w:r>
            <w:r w:rsidR="00A157AA">
              <w:rPr>
                <w:rStyle w:val="Strong"/>
                <w:rFonts w:ascii="Arial" w:hAnsi="Arial" w:cs="Arial"/>
                <w:b w:val="0"/>
                <w:sz w:val="24"/>
                <w:szCs w:val="24"/>
              </w:rPr>
              <w:br w:type="page"/>
            </w:r>
            <w:r w:rsidR="00CB268B">
              <w:rPr>
                <w:rStyle w:val="Strong"/>
                <w:rFonts w:ascii="Arial" w:hAnsi="Arial" w:cs="Arial"/>
                <w:sz w:val="24"/>
                <w:szCs w:val="24"/>
              </w:rPr>
              <w:t>Levaquin</w:t>
            </w:r>
          </w:p>
          <w:p w:rsidR="00CB268B" w:rsidRDefault="00004E3C" w:rsidP="00CB268B">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CB268B">
              <w:rPr>
                <w:rStyle w:val="Strong"/>
                <w:rFonts w:ascii="Arial" w:hAnsi="Arial" w:cs="Arial"/>
                <w:sz w:val="24"/>
                <w:szCs w:val="24"/>
              </w:rPr>
              <w:t>Adverse Event Reporting System (</w:t>
            </w:r>
            <w:r>
              <w:rPr>
                <w:rStyle w:val="Strong"/>
                <w:rFonts w:ascii="Arial" w:hAnsi="Arial" w:cs="Arial"/>
                <w:sz w:val="24"/>
                <w:szCs w:val="24"/>
              </w:rPr>
              <w:t>F</w:t>
            </w:r>
            <w:r w:rsidR="00CB268B">
              <w:rPr>
                <w:rStyle w:val="Strong"/>
                <w:rFonts w:ascii="Arial" w:hAnsi="Arial" w:cs="Arial"/>
                <w:sz w:val="24"/>
                <w:szCs w:val="24"/>
              </w:rPr>
              <w:t xml:space="preserve">AERS) </w:t>
            </w:r>
          </w:p>
          <w:p w:rsidR="006D605F" w:rsidRPr="006A0C4E" w:rsidRDefault="00CB268B" w:rsidP="00CB268B">
            <w:pPr>
              <w:pStyle w:val="ListParagraph"/>
              <w:jc w:val="center"/>
              <w:rPr>
                <w:rStyle w:val="Strong"/>
                <w:rFonts w:ascii="Arial" w:hAnsi="Arial" w:cs="Arial"/>
                <w:b w:val="0"/>
                <w:sz w:val="24"/>
                <w:szCs w:val="24"/>
              </w:rPr>
            </w:pPr>
            <w:r>
              <w:rPr>
                <w:rStyle w:val="Strong"/>
                <w:rFonts w:ascii="Arial" w:hAnsi="Arial" w:cs="Arial"/>
                <w:sz w:val="24"/>
                <w:szCs w:val="24"/>
              </w:rPr>
              <w:t>November 1, 1997 – February 3, 2011</w:t>
            </w:r>
          </w:p>
        </w:tc>
      </w:tr>
      <w:tr w:rsidR="00CB268B" w:rsidTr="007131F0">
        <w:tc>
          <w:tcPr>
            <w:tcW w:w="4585" w:type="dxa"/>
          </w:tcPr>
          <w:p w:rsidR="007131F0" w:rsidRDefault="007131F0" w:rsidP="007131F0">
            <w:pPr>
              <w:pStyle w:val="ListParagraph"/>
              <w:jc w:val="center"/>
              <w:rPr>
                <w:rStyle w:val="Strong"/>
                <w:rFonts w:ascii="Arial" w:hAnsi="Arial" w:cs="Arial"/>
                <w:sz w:val="24"/>
                <w:szCs w:val="24"/>
              </w:rPr>
            </w:pPr>
            <w:r>
              <w:rPr>
                <w:rStyle w:val="Strong"/>
                <w:rFonts w:ascii="Arial" w:hAnsi="Arial" w:cs="Arial"/>
                <w:sz w:val="24"/>
                <w:szCs w:val="24"/>
              </w:rPr>
              <w:t>Potential Mitochondrial Toxicity</w:t>
            </w:r>
          </w:p>
          <w:p w:rsidR="00CB268B" w:rsidRPr="007131F0" w:rsidRDefault="00CB268B" w:rsidP="007131F0">
            <w:pPr>
              <w:pStyle w:val="ListParagraph"/>
              <w:jc w:val="center"/>
              <w:rPr>
                <w:rStyle w:val="Strong"/>
                <w:rFonts w:ascii="Arial" w:hAnsi="Arial" w:cs="Arial"/>
                <w:sz w:val="24"/>
                <w:szCs w:val="24"/>
              </w:rPr>
            </w:pPr>
            <w:r w:rsidRPr="00A157AA">
              <w:rPr>
                <w:rStyle w:val="Strong"/>
                <w:rFonts w:ascii="Arial" w:hAnsi="Arial" w:cs="Arial"/>
                <w:sz w:val="24"/>
                <w:szCs w:val="24"/>
              </w:rPr>
              <w:t>Adverse Event</w:t>
            </w:r>
            <w:r w:rsidR="007131F0">
              <w:rPr>
                <w:rStyle w:val="Strong"/>
                <w:rFonts w:ascii="Arial" w:hAnsi="Arial" w:cs="Arial"/>
                <w:sz w:val="24"/>
                <w:szCs w:val="24"/>
              </w:rPr>
              <w:t xml:space="preserve"> </w:t>
            </w:r>
            <w:r w:rsidRPr="007131F0">
              <w:rPr>
                <w:rStyle w:val="Strong"/>
                <w:rFonts w:ascii="Arial" w:hAnsi="Arial" w:cs="Arial"/>
                <w:sz w:val="24"/>
                <w:szCs w:val="24"/>
              </w:rPr>
              <w:t>Reported</w:t>
            </w:r>
          </w:p>
        </w:tc>
        <w:tc>
          <w:tcPr>
            <w:tcW w:w="4045" w:type="dxa"/>
          </w:tcPr>
          <w:p w:rsidR="00CB268B" w:rsidRPr="00A157AA" w:rsidRDefault="00CB268B" w:rsidP="006D605F">
            <w:pPr>
              <w:jc w:val="center"/>
              <w:rPr>
                <w:rStyle w:val="Strong"/>
                <w:rFonts w:ascii="Arial" w:hAnsi="Arial" w:cs="Arial"/>
                <w:sz w:val="24"/>
                <w:szCs w:val="24"/>
              </w:rPr>
            </w:pPr>
            <w:r w:rsidRPr="00A157AA">
              <w:rPr>
                <w:rStyle w:val="Strong"/>
                <w:rFonts w:ascii="Arial" w:hAnsi="Arial" w:cs="Arial"/>
                <w:sz w:val="24"/>
                <w:szCs w:val="24"/>
              </w:rPr>
              <w:t xml:space="preserve">Percent of </w:t>
            </w:r>
          </w:p>
          <w:p w:rsidR="00CB268B" w:rsidRPr="00A157AA" w:rsidRDefault="00CB268B" w:rsidP="006D605F">
            <w:pPr>
              <w:jc w:val="center"/>
              <w:rPr>
                <w:rStyle w:val="Strong"/>
                <w:rFonts w:ascii="Arial" w:hAnsi="Arial" w:cs="Arial"/>
                <w:sz w:val="24"/>
                <w:szCs w:val="24"/>
              </w:rPr>
            </w:pPr>
            <w:r w:rsidRPr="00A157AA">
              <w:rPr>
                <w:rStyle w:val="Strong"/>
                <w:rFonts w:ascii="Arial" w:hAnsi="Arial" w:cs="Arial"/>
                <w:sz w:val="24"/>
                <w:szCs w:val="24"/>
              </w:rPr>
              <w:t xml:space="preserve">Total Adverse Events Reported </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proofErr w:type="spellStart"/>
            <w:r>
              <w:rPr>
                <w:rStyle w:val="Strong"/>
                <w:rFonts w:ascii="Arial" w:hAnsi="Arial" w:cs="Arial"/>
                <w:b w:val="0"/>
                <w:sz w:val="24"/>
                <w:szCs w:val="24"/>
              </w:rPr>
              <w:t>Dyspnoea</w:t>
            </w:r>
            <w:proofErr w:type="spellEnd"/>
          </w:p>
        </w:tc>
        <w:tc>
          <w:tcPr>
            <w:tcW w:w="4045" w:type="dxa"/>
          </w:tcPr>
          <w:p w:rsidR="006D605F" w:rsidRPr="006A0C4E" w:rsidRDefault="006D605F" w:rsidP="006D605F">
            <w:pPr>
              <w:jc w:val="center"/>
              <w:rPr>
                <w:rStyle w:val="Strong"/>
                <w:rFonts w:ascii="Arial" w:hAnsi="Arial" w:cs="Arial"/>
                <w:b w:val="0"/>
                <w:sz w:val="24"/>
                <w:szCs w:val="24"/>
              </w:rPr>
            </w:pPr>
            <w:r>
              <w:rPr>
                <w:rStyle w:val="Strong"/>
                <w:rFonts w:ascii="Arial" w:hAnsi="Arial" w:cs="Arial"/>
                <w:b w:val="0"/>
                <w:sz w:val="24"/>
                <w:szCs w:val="24"/>
              </w:rPr>
              <w:t>4%</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Insomnia</w:t>
            </w:r>
          </w:p>
        </w:tc>
        <w:tc>
          <w:tcPr>
            <w:tcW w:w="4045" w:type="dxa"/>
          </w:tcPr>
          <w:p w:rsidR="006D605F" w:rsidRDefault="006D605F" w:rsidP="006D605F">
            <w:pPr>
              <w:jc w:val="center"/>
            </w:pPr>
            <w:r w:rsidRPr="008535FB">
              <w:rPr>
                <w:rStyle w:val="Strong"/>
                <w:rFonts w:ascii="Arial" w:hAnsi="Arial" w:cs="Arial"/>
                <w:b w:val="0"/>
                <w:sz w:val="24"/>
                <w:szCs w:val="24"/>
              </w:rPr>
              <w:t>4%</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Myalgia</w:t>
            </w:r>
          </w:p>
        </w:tc>
        <w:tc>
          <w:tcPr>
            <w:tcW w:w="4045" w:type="dxa"/>
          </w:tcPr>
          <w:p w:rsidR="006D605F" w:rsidRDefault="006D605F" w:rsidP="006D605F">
            <w:pPr>
              <w:jc w:val="center"/>
            </w:pPr>
            <w:r w:rsidRPr="008535FB">
              <w:rPr>
                <w:rStyle w:val="Strong"/>
                <w:rFonts w:ascii="Arial" w:hAnsi="Arial" w:cs="Arial"/>
                <w:b w:val="0"/>
                <w:sz w:val="24"/>
                <w:szCs w:val="24"/>
              </w:rPr>
              <w:t>4%</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Pain</w:t>
            </w:r>
          </w:p>
        </w:tc>
        <w:tc>
          <w:tcPr>
            <w:tcW w:w="4045" w:type="dxa"/>
          </w:tcPr>
          <w:p w:rsidR="006D605F" w:rsidRDefault="006D605F" w:rsidP="006D605F">
            <w:pPr>
              <w:jc w:val="center"/>
            </w:pPr>
            <w:r w:rsidRPr="008535FB">
              <w:rPr>
                <w:rStyle w:val="Strong"/>
                <w:rFonts w:ascii="Arial" w:hAnsi="Arial" w:cs="Arial"/>
                <w:b w:val="0"/>
                <w:sz w:val="24"/>
                <w:szCs w:val="24"/>
              </w:rPr>
              <w:t>4%</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Dizziness</w:t>
            </w:r>
          </w:p>
        </w:tc>
        <w:tc>
          <w:tcPr>
            <w:tcW w:w="4045" w:type="dxa"/>
          </w:tcPr>
          <w:p w:rsidR="006D605F" w:rsidRDefault="006D605F" w:rsidP="006D605F">
            <w:pPr>
              <w:jc w:val="center"/>
            </w:pPr>
            <w:r w:rsidRPr="00934E60">
              <w:rPr>
                <w:rStyle w:val="Strong"/>
                <w:rFonts w:ascii="Arial" w:hAnsi="Arial" w:cs="Arial"/>
                <w:b w:val="0"/>
                <w:sz w:val="24"/>
                <w:szCs w:val="24"/>
              </w:rPr>
              <w:t>3%</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Nausea</w:t>
            </w:r>
          </w:p>
        </w:tc>
        <w:tc>
          <w:tcPr>
            <w:tcW w:w="4045" w:type="dxa"/>
          </w:tcPr>
          <w:p w:rsidR="006D605F" w:rsidRDefault="006D605F" w:rsidP="006D605F">
            <w:pPr>
              <w:jc w:val="center"/>
            </w:pPr>
            <w:r w:rsidRPr="00934E60">
              <w:rPr>
                <w:rStyle w:val="Strong"/>
                <w:rFonts w:ascii="Arial" w:hAnsi="Arial" w:cs="Arial"/>
                <w:b w:val="0"/>
                <w:sz w:val="24"/>
                <w:szCs w:val="24"/>
              </w:rPr>
              <w:t>3%</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Gait disturbance</w:t>
            </w:r>
          </w:p>
        </w:tc>
        <w:tc>
          <w:tcPr>
            <w:tcW w:w="4045" w:type="dxa"/>
          </w:tcPr>
          <w:p w:rsidR="006D605F" w:rsidRDefault="006D605F" w:rsidP="006D605F">
            <w:pPr>
              <w:jc w:val="center"/>
            </w:pPr>
            <w:r w:rsidRPr="00934E60">
              <w:rPr>
                <w:rStyle w:val="Strong"/>
                <w:rFonts w:ascii="Arial" w:hAnsi="Arial" w:cs="Arial"/>
                <w:b w:val="0"/>
                <w:sz w:val="24"/>
                <w:szCs w:val="24"/>
              </w:rPr>
              <w:t>3%</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Asthenia</w:t>
            </w:r>
          </w:p>
        </w:tc>
        <w:tc>
          <w:tcPr>
            <w:tcW w:w="4045" w:type="dxa"/>
          </w:tcPr>
          <w:p w:rsidR="006D605F" w:rsidRDefault="006D605F" w:rsidP="006D605F">
            <w:pPr>
              <w:jc w:val="center"/>
            </w:pPr>
            <w:r w:rsidRPr="00934E60">
              <w:rPr>
                <w:rStyle w:val="Strong"/>
                <w:rFonts w:ascii="Arial" w:hAnsi="Arial" w:cs="Arial"/>
                <w:b w:val="0"/>
                <w:sz w:val="24"/>
                <w:szCs w:val="24"/>
              </w:rPr>
              <w:t>3%</w:t>
            </w:r>
          </w:p>
        </w:tc>
      </w:tr>
      <w:tr w:rsidR="006D605F" w:rsidTr="007131F0">
        <w:tc>
          <w:tcPr>
            <w:tcW w:w="4585" w:type="dxa"/>
          </w:tcPr>
          <w:p w:rsidR="006D605F" w:rsidRPr="006A0C4E" w:rsidRDefault="006D605F" w:rsidP="00A157AA">
            <w:pPr>
              <w:pStyle w:val="ListParagraph"/>
              <w:rPr>
                <w:rStyle w:val="Strong"/>
                <w:rFonts w:ascii="Arial" w:hAnsi="Arial" w:cs="Arial"/>
                <w:b w:val="0"/>
                <w:sz w:val="24"/>
                <w:szCs w:val="24"/>
              </w:rPr>
            </w:pPr>
            <w:r>
              <w:rPr>
                <w:rStyle w:val="Strong"/>
                <w:rFonts w:ascii="Arial" w:hAnsi="Arial" w:cs="Arial"/>
                <w:b w:val="0"/>
                <w:sz w:val="24"/>
                <w:szCs w:val="24"/>
              </w:rPr>
              <w:t>Pyrexia</w:t>
            </w:r>
          </w:p>
        </w:tc>
        <w:tc>
          <w:tcPr>
            <w:tcW w:w="4045" w:type="dxa"/>
          </w:tcPr>
          <w:p w:rsidR="006D605F" w:rsidRPr="006A0C4E" w:rsidRDefault="006D605F" w:rsidP="006D605F">
            <w:pPr>
              <w:jc w:val="center"/>
              <w:rPr>
                <w:rStyle w:val="Strong"/>
                <w:rFonts w:ascii="Arial" w:hAnsi="Arial" w:cs="Arial"/>
                <w:b w:val="0"/>
                <w:sz w:val="24"/>
                <w:szCs w:val="24"/>
              </w:rPr>
            </w:pPr>
            <w:r>
              <w:rPr>
                <w:rStyle w:val="Strong"/>
                <w:rFonts w:ascii="Arial" w:hAnsi="Arial" w:cs="Arial"/>
                <w:b w:val="0"/>
                <w:sz w:val="24"/>
                <w:szCs w:val="24"/>
              </w:rPr>
              <w:t>3%</w:t>
            </w:r>
          </w:p>
        </w:tc>
      </w:tr>
    </w:tbl>
    <w:p w:rsidR="00D95A09" w:rsidRDefault="00D95A09" w:rsidP="00D95A09">
      <w:pPr>
        <w:pStyle w:val="ListParagraph"/>
        <w:rPr>
          <w:rStyle w:val="Strong"/>
          <w:rFonts w:ascii="Arial" w:hAnsi="Arial" w:cs="Arial"/>
          <w:b w:val="0"/>
          <w:sz w:val="24"/>
          <w:szCs w:val="24"/>
        </w:rPr>
      </w:pPr>
    </w:p>
    <w:p w:rsidR="00A81B7F" w:rsidRDefault="00A81B7F" w:rsidP="00D95A09">
      <w:pPr>
        <w:pStyle w:val="ListParagraph"/>
        <w:rPr>
          <w:rStyle w:val="Strong"/>
          <w:rFonts w:ascii="Arial" w:hAnsi="Arial" w:cs="Arial"/>
          <w:b w:val="0"/>
          <w:sz w:val="24"/>
          <w:szCs w:val="24"/>
        </w:rPr>
      </w:pPr>
    </w:p>
    <w:p w:rsidR="00D95A09" w:rsidRDefault="00D95A09" w:rsidP="00D95A09">
      <w:pPr>
        <w:pStyle w:val="ListParagraph"/>
        <w:ind w:left="0"/>
        <w:rPr>
          <w:rFonts w:ascii="Arial" w:hAnsi="Arial" w:cs="Arial"/>
          <w:bCs/>
          <w:sz w:val="24"/>
          <w:szCs w:val="24"/>
        </w:rPr>
      </w:pPr>
      <w:r>
        <w:rPr>
          <w:rFonts w:ascii="Arial" w:hAnsi="Arial" w:cs="Arial"/>
          <w:bCs/>
          <w:sz w:val="24"/>
          <w:szCs w:val="24"/>
        </w:rPr>
        <w:t>The total percentage of</w:t>
      </w:r>
      <w:r w:rsidR="006A6823">
        <w:rPr>
          <w:rFonts w:ascii="Arial" w:hAnsi="Arial" w:cs="Arial"/>
          <w:bCs/>
          <w:sz w:val="24"/>
          <w:szCs w:val="24"/>
        </w:rPr>
        <w:t xml:space="preserve"> Levaquin reported Adverse Events for</w:t>
      </w:r>
      <w:r>
        <w:rPr>
          <w:rFonts w:ascii="Arial" w:hAnsi="Arial" w:cs="Arial"/>
          <w:bCs/>
          <w:sz w:val="24"/>
          <w:szCs w:val="24"/>
        </w:rPr>
        <w:t xml:space="preserve"> ju</w:t>
      </w:r>
      <w:r w:rsidR="006A6823">
        <w:rPr>
          <w:rFonts w:ascii="Arial" w:hAnsi="Arial" w:cs="Arial"/>
          <w:bCs/>
          <w:sz w:val="24"/>
          <w:szCs w:val="24"/>
        </w:rPr>
        <w:t xml:space="preserve">st these nine </w:t>
      </w:r>
      <w:r w:rsidR="007131F0">
        <w:rPr>
          <w:rFonts w:ascii="Arial" w:hAnsi="Arial" w:cs="Arial"/>
          <w:bCs/>
          <w:sz w:val="24"/>
          <w:szCs w:val="24"/>
        </w:rPr>
        <w:t>potential Mitochondrial Toxicity Adverse E</w:t>
      </w:r>
      <w:r w:rsidR="006A6823">
        <w:rPr>
          <w:rFonts w:ascii="Arial" w:hAnsi="Arial" w:cs="Arial"/>
          <w:bCs/>
          <w:sz w:val="24"/>
          <w:szCs w:val="24"/>
        </w:rPr>
        <w:t>vents is</w:t>
      </w:r>
      <w:r>
        <w:rPr>
          <w:rFonts w:ascii="Arial" w:hAnsi="Arial" w:cs="Arial"/>
          <w:bCs/>
          <w:sz w:val="24"/>
          <w:szCs w:val="24"/>
        </w:rPr>
        <w:t xml:space="preserve"> </w:t>
      </w:r>
      <w:r w:rsidRPr="007131F0">
        <w:rPr>
          <w:rFonts w:ascii="Arial" w:hAnsi="Arial" w:cs="Arial"/>
          <w:b/>
          <w:bCs/>
          <w:i/>
          <w:sz w:val="24"/>
          <w:szCs w:val="24"/>
        </w:rPr>
        <w:t>31%</w:t>
      </w:r>
      <w:r>
        <w:rPr>
          <w:rFonts w:ascii="Arial" w:hAnsi="Arial" w:cs="Arial"/>
          <w:bCs/>
          <w:sz w:val="24"/>
          <w:szCs w:val="24"/>
        </w:rPr>
        <w:t>.  While conclusions cannot be made regarding whether this 31% is related to “Mitochondrial Toxicity,” the economic impact of</w:t>
      </w:r>
      <w:r w:rsidR="006A6823">
        <w:rPr>
          <w:rFonts w:ascii="Arial" w:hAnsi="Arial" w:cs="Arial"/>
          <w:bCs/>
          <w:sz w:val="24"/>
          <w:szCs w:val="24"/>
        </w:rPr>
        <w:t xml:space="preserve"> treating th</w:t>
      </w:r>
      <w:r w:rsidR="0068024E">
        <w:rPr>
          <w:rFonts w:ascii="Arial" w:hAnsi="Arial" w:cs="Arial"/>
          <w:bCs/>
          <w:sz w:val="24"/>
          <w:szCs w:val="24"/>
        </w:rPr>
        <w:t>is</w:t>
      </w:r>
      <w:r w:rsidR="006A6823">
        <w:rPr>
          <w:rFonts w:ascii="Arial" w:hAnsi="Arial" w:cs="Arial"/>
          <w:bCs/>
          <w:sz w:val="24"/>
          <w:szCs w:val="24"/>
        </w:rPr>
        <w:t xml:space="preserve"> 31</w:t>
      </w:r>
      <w:r w:rsidR="00D95089">
        <w:rPr>
          <w:rFonts w:ascii="Arial" w:hAnsi="Arial" w:cs="Arial"/>
          <w:bCs/>
          <w:sz w:val="24"/>
          <w:szCs w:val="24"/>
        </w:rPr>
        <w:t xml:space="preserve">% </w:t>
      </w:r>
      <w:r w:rsidR="006A6823">
        <w:rPr>
          <w:rFonts w:ascii="Arial" w:hAnsi="Arial" w:cs="Arial"/>
          <w:bCs/>
          <w:sz w:val="24"/>
          <w:szCs w:val="24"/>
        </w:rPr>
        <w:t>of the identified Adverse Events is significant</w:t>
      </w:r>
      <w:r w:rsidR="00B3345C">
        <w:rPr>
          <w:rFonts w:ascii="Arial" w:hAnsi="Arial" w:cs="Arial"/>
          <w:bCs/>
          <w:sz w:val="24"/>
          <w:szCs w:val="24"/>
        </w:rPr>
        <w:t>.</w:t>
      </w:r>
      <w:r w:rsidR="0068024E">
        <w:rPr>
          <w:rFonts w:ascii="Arial" w:hAnsi="Arial" w:cs="Arial"/>
          <w:bCs/>
          <w:sz w:val="24"/>
          <w:szCs w:val="24"/>
        </w:rPr>
        <w:t xml:space="preserve"> </w:t>
      </w:r>
      <w:r w:rsidR="00DD4D42">
        <w:rPr>
          <w:rFonts w:ascii="Arial" w:hAnsi="Arial" w:cs="Arial"/>
          <w:bCs/>
          <w:sz w:val="24"/>
          <w:szCs w:val="24"/>
        </w:rPr>
        <w:t xml:space="preserve"> The next </w:t>
      </w:r>
      <w:r w:rsidR="00D95089">
        <w:rPr>
          <w:rFonts w:ascii="Arial" w:hAnsi="Arial" w:cs="Arial"/>
          <w:bCs/>
          <w:sz w:val="24"/>
          <w:szCs w:val="24"/>
        </w:rPr>
        <w:t>secti</w:t>
      </w:r>
      <w:r w:rsidR="00DD4D42">
        <w:rPr>
          <w:rFonts w:ascii="Arial" w:hAnsi="Arial" w:cs="Arial"/>
          <w:bCs/>
          <w:sz w:val="24"/>
          <w:szCs w:val="24"/>
        </w:rPr>
        <w:t>ons estimate the direct medical care cost of just three</w:t>
      </w:r>
      <w:r w:rsidR="00D95089">
        <w:rPr>
          <w:rFonts w:ascii="Arial" w:hAnsi="Arial" w:cs="Arial"/>
          <w:bCs/>
          <w:sz w:val="24"/>
          <w:szCs w:val="24"/>
        </w:rPr>
        <w:t xml:space="preserve"> of thes</w:t>
      </w:r>
      <w:r w:rsidR="00DD4D42">
        <w:rPr>
          <w:rFonts w:ascii="Arial" w:hAnsi="Arial" w:cs="Arial"/>
          <w:bCs/>
          <w:sz w:val="24"/>
          <w:szCs w:val="24"/>
        </w:rPr>
        <w:t xml:space="preserve">e </w:t>
      </w:r>
      <w:r w:rsidR="007131F0">
        <w:rPr>
          <w:rFonts w:ascii="Arial" w:hAnsi="Arial" w:cs="Arial"/>
          <w:bCs/>
          <w:sz w:val="24"/>
          <w:szCs w:val="24"/>
        </w:rPr>
        <w:t xml:space="preserve">Potential Levaquin Mitochondrial Toxicity </w:t>
      </w:r>
      <w:r w:rsidR="00DD4D42">
        <w:rPr>
          <w:rFonts w:ascii="Arial" w:hAnsi="Arial" w:cs="Arial"/>
          <w:bCs/>
          <w:sz w:val="24"/>
          <w:szCs w:val="24"/>
        </w:rPr>
        <w:t>Adverse Events:  “Insomnia,” “Pain,” and “Gait Disturbance.”</w:t>
      </w:r>
    </w:p>
    <w:p w:rsidR="00D95089" w:rsidRDefault="00D95089" w:rsidP="00DC1C48">
      <w:pPr>
        <w:pStyle w:val="ListParagraph"/>
        <w:ind w:left="0"/>
        <w:rPr>
          <w:rFonts w:ascii="Arial" w:hAnsi="Arial" w:cs="Arial"/>
          <w:bCs/>
          <w:sz w:val="24"/>
          <w:szCs w:val="24"/>
        </w:rPr>
      </w:pPr>
    </w:p>
    <w:p w:rsidR="00DC1C48" w:rsidRDefault="00D95089" w:rsidP="00DC1C48">
      <w:pPr>
        <w:pStyle w:val="ListParagraph"/>
        <w:ind w:left="0"/>
        <w:rPr>
          <w:rFonts w:ascii="Arial" w:hAnsi="Arial" w:cs="Arial"/>
          <w:bCs/>
          <w:sz w:val="24"/>
          <w:szCs w:val="24"/>
        </w:rPr>
      </w:pPr>
      <w:proofErr w:type="gramStart"/>
      <w:r w:rsidRPr="00D95089">
        <w:rPr>
          <w:rFonts w:ascii="Arial" w:hAnsi="Arial" w:cs="Arial"/>
          <w:bCs/>
          <w:sz w:val="24"/>
          <w:szCs w:val="24"/>
          <w:u w:val="single"/>
        </w:rPr>
        <w:t>Insomnia.</w:t>
      </w:r>
      <w:proofErr w:type="gramEnd"/>
      <w:r>
        <w:rPr>
          <w:rFonts w:ascii="Arial" w:hAnsi="Arial" w:cs="Arial"/>
          <w:bCs/>
          <w:sz w:val="24"/>
          <w:szCs w:val="24"/>
        </w:rPr>
        <w:t xml:space="preserve">  </w:t>
      </w:r>
      <w:r w:rsidR="00B3345C">
        <w:rPr>
          <w:rFonts w:ascii="Arial" w:hAnsi="Arial" w:cs="Arial"/>
          <w:bCs/>
          <w:sz w:val="24"/>
          <w:szCs w:val="24"/>
        </w:rPr>
        <w:t xml:space="preserve">The estimated annual cost of medical care for insomnia per person is $2,800. </w:t>
      </w:r>
      <w:proofErr w:type="gramStart"/>
      <w:r w:rsidR="00B3345C">
        <w:rPr>
          <w:rFonts w:ascii="Arial" w:hAnsi="Arial" w:cs="Arial"/>
          <w:bCs/>
          <w:sz w:val="24"/>
          <w:szCs w:val="24"/>
        </w:rPr>
        <w:t>(“W</w:t>
      </w:r>
      <w:r w:rsidR="00A157AA">
        <w:rPr>
          <w:rFonts w:ascii="Arial" w:hAnsi="Arial" w:cs="Arial"/>
          <w:bCs/>
          <w:sz w:val="24"/>
          <w:szCs w:val="24"/>
        </w:rPr>
        <w:t>aking Up to the Insomnia Crisis.</w:t>
      </w:r>
      <w:r w:rsidR="00B3345C">
        <w:rPr>
          <w:rFonts w:ascii="Arial" w:hAnsi="Arial" w:cs="Arial"/>
          <w:bCs/>
          <w:sz w:val="24"/>
          <w:szCs w:val="24"/>
        </w:rPr>
        <w:t>”</w:t>
      </w:r>
      <w:proofErr w:type="gramEnd"/>
      <w:r w:rsidR="007131F0">
        <w:rPr>
          <w:rFonts w:ascii="Arial" w:hAnsi="Arial" w:cs="Arial"/>
          <w:bCs/>
          <w:sz w:val="24"/>
          <w:szCs w:val="24"/>
        </w:rPr>
        <w:t xml:space="preserve"> </w:t>
      </w:r>
      <w:proofErr w:type="spellStart"/>
      <w:r w:rsidR="007131F0">
        <w:rPr>
          <w:rFonts w:ascii="Arial" w:hAnsi="Arial" w:cs="Arial"/>
          <w:bCs/>
          <w:sz w:val="24"/>
          <w:szCs w:val="24"/>
        </w:rPr>
        <w:t>Sanofi-aventis</w:t>
      </w:r>
      <w:proofErr w:type="spellEnd"/>
      <w:r w:rsidR="007131F0">
        <w:rPr>
          <w:rFonts w:ascii="Arial" w:hAnsi="Arial" w:cs="Arial"/>
          <w:bCs/>
          <w:sz w:val="24"/>
          <w:szCs w:val="24"/>
        </w:rPr>
        <w:t>, 2009, page 8</w:t>
      </w:r>
      <w:proofErr w:type="gramStart"/>
      <w:r w:rsidR="007131F0">
        <w:rPr>
          <w:rFonts w:ascii="Arial" w:hAnsi="Arial" w:cs="Arial"/>
          <w:bCs/>
          <w:sz w:val="24"/>
          <w:szCs w:val="24"/>
        </w:rPr>
        <w:t xml:space="preserve">)  </w:t>
      </w:r>
      <w:r w:rsidR="00B3345C">
        <w:rPr>
          <w:rFonts w:ascii="Arial" w:hAnsi="Arial" w:cs="Arial"/>
          <w:bCs/>
          <w:sz w:val="24"/>
          <w:szCs w:val="24"/>
        </w:rPr>
        <w:t>This</w:t>
      </w:r>
      <w:proofErr w:type="gramEnd"/>
      <w:r w:rsidR="00B3345C">
        <w:rPr>
          <w:rFonts w:ascii="Arial" w:hAnsi="Arial" w:cs="Arial"/>
          <w:bCs/>
          <w:sz w:val="24"/>
          <w:szCs w:val="24"/>
        </w:rPr>
        <w:t xml:space="preserve"> does not take into account the societal cost of lost work performance.</w:t>
      </w:r>
    </w:p>
    <w:p w:rsidR="00DC1C48" w:rsidRDefault="00DC1C48" w:rsidP="00DC1C48">
      <w:pPr>
        <w:pStyle w:val="ListParagraph"/>
        <w:ind w:left="0"/>
        <w:rPr>
          <w:rStyle w:val="Strong"/>
          <w:rFonts w:ascii="Arial" w:hAnsi="Arial" w:cs="Arial"/>
          <w:b w:val="0"/>
          <w:sz w:val="24"/>
          <w:szCs w:val="24"/>
        </w:rPr>
      </w:pPr>
    </w:p>
    <w:p w:rsidR="00213F63" w:rsidRDefault="00213F63" w:rsidP="00DC1C48">
      <w:pPr>
        <w:pStyle w:val="ListParagraph"/>
        <w:ind w:left="0"/>
        <w:rPr>
          <w:rStyle w:val="Strong"/>
          <w:rFonts w:ascii="Arial" w:hAnsi="Arial" w:cs="Arial"/>
          <w:b w:val="0"/>
          <w:sz w:val="24"/>
          <w:szCs w:val="24"/>
        </w:rPr>
      </w:pPr>
    </w:p>
    <w:tbl>
      <w:tblPr>
        <w:tblStyle w:val="TableGrid"/>
        <w:tblW w:w="0" w:type="auto"/>
        <w:tblLook w:val="04A0" w:firstRow="1" w:lastRow="0" w:firstColumn="1" w:lastColumn="0" w:noHBand="0" w:noVBand="1"/>
      </w:tblPr>
      <w:tblGrid>
        <w:gridCol w:w="3055"/>
        <w:gridCol w:w="2250"/>
        <w:gridCol w:w="1980"/>
        <w:gridCol w:w="2065"/>
      </w:tblGrid>
      <w:tr w:rsidR="00DC1C48" w:rsidTr="00BF2F87">
        <w:tc>
          <w:tcPr>
            <w:tcW w:w="9350" w:type="dxa"/>
            <w:gridSpan w:val="4"/>
          </w:tcPr>
          <w:p w:rsidR="00DC1C48" w:rsidRDefault="00DC1C48" w:rsidP="00BF2F87">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DC1C48" w:rsidRDefault="00004E3C" w:rsidP="00BF2F87">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DC1C48">
              <w:rPr>
                <w:rStyle w:val="Strong"/>
                <w:rFonts w:ascii="Arial" w:hAnsi="Arial" w:cs="Arial"/>
                <w:sz w:val="24"/>
                <w:szCs w:val="24"/>
              </w:rPr>
              <w:t>Adverse Event Reporting System (</w:t>
            </w:r>
            <w:r>
              <w:rPr>
                <w:rStyle w:val="Strong"/>
                <w:rFonts w:ascii="Arial" w:hAnsi="Arial" w:cs="Arial"/>
                <w:sz w:val="24"/>
                <w:szCs w:val="24"/>
              </w:rPr>
              <w:t>F</w:t>
            </w:r>
            <w:r w:rsidR="00DC1C48">
              <w:rPr>
                <w:rStyle w:val="Strong"/>
                <w:rFonts w:ascii="Arial" w:hAnsi="Arial" w:cs="Arial"/>
                <w:sz w:val="24"/>
                <w:szCs w:val="24"/>
              </w:rPr>
              <w:t xml:space="preserve">AERS) </w:t>
            </w:r>
          </w:p>
          <w:p w:rsidR="00DC1C48" w:rsidRPr="00146EE3" w:rsidRDefault="00DC1C48" w:rsidP="00BF2F87">
            <w:pPr>
              <w:pStyle w:val="ListParagraph"/>
              <w:ind w:left="0"/>
              <w:jc w:val="center"/>
              <w:rPr>
                <w:rStyle w:val="Strong"/>
                <w:rFonts w:ascii="Arial" w:hAnsi="Arial" w:cs="Arial"/>
                <w:sz w:val="24"/>
                <w:szCs w:val="24"/>
              </w:rPr>
            </w:pPr>
            <w:r>
              <w:rPr>
                <w:rStyle w:val="Strong"/>
                <w:rFonts w:ascii="Arial" w:hAnsi="Arial" w:cs="Arial"/>
                <w:sz w:val="24"/>
                <w:szCs w:val="24"/>
              </w:rPr>
              <w:t>November 1, 1997 – February 3, 2011</w:t>
            </w:r>
          </w:p>
        </w:tc>
      </w:tr>
      <w:tr w:rsidR="00DC1C48" w:rsidTr="00BF2F87">
        <w:tc>
          <w:tcPr>
            <w:tcW w:w="3055" w:type="dxa"/>
          </w:tcPr>
          <w:p w:rsidR="00DC1C48" w:rsidRDefault="00DC1C48" w:rsidP="00BF2F87">
            <w:pPr>
              <w:pStyle w:val="ListParagraph"/>
              <w:ind w:left="0"/>
              <w:rPr>
                <w:rStyle w:val="Strong"/>
                <w:rFonts w:ascii="Arial" w:hAnsi="Arial" w:cs="Arial"/>
                <w:b w:val="0"/>
                <w:sz w:val="24"/>
                <w:szCs w:val="24"/>
              </w:rPr>
            </w:pPr>
          </w:p>
        </w:tc>
        <w:tc>
          <w:tcPr>
            <w:tcW w:w="2250" w:type="dxa"/>
          </w:tcPr>
          <w:p w:rsidR="00CB2E45" w:rsidRDefault="00CB2E45" w:rsidP="00BF2F87">
            <w:pPr>
              <w:pStyle w:val="ListParagraph"/>
              <w:ind w:left="0"/>
              <w:jc w:val="center"/>
              <w:rPr>
                <w:rStyle w:val="Strong"/>
                <w:rFonts w:ascii="Arial" w:hAnsi="Arial" w:cs="Arial"/>
                <w:sz w:val="24"/>
                <w:szCs w:val="24"/>
              </w:rPr>
            </w:pPr>
          </w:p>
          <w:p w:rsidR="00DC1C48" w:rsidRDefault="00CB01AB" w:rsidP="00BF2F87">
            <w:pPr>
              <w:pStyle w:val="ListParagraph"/>
              <w:ind w:left="0"/>
              <w:jc w:val="center"/>
              <w:rPr>
                <w:rStyle w:val="Strong"/>
                <w:rFonts w:ascii="Arial" w:hAnsi="Arial" w:cs="Arial"/>
                <w:sz w:val="24"/>
                <w:szCs w:val="24"/>
              </w:rPr>
            </w:pPr>
            <w:r>
              <w:rPr>
                <w:rStyle w:val="Strong"/>
                <w:rFonts w:ascii="Arial" w:hAnsi="Arial" w:cs="Arial"/>
                <w:sz w:val="24"/>
                <w:szCs w:val="24"/>
              </w:rPr>
              <w:t>“Insomnia”</w:t>
            </w:r>
          </w:p>
          <w:p w:rsidR="00DC1C48" w:rsidRDefault="00DC1C48" w:rsidP="00BF2F87">
            <w:pPr>
              <w:pStyle w:val="ListParagraph"/>
              <w:ind w:left="0"/>
              <w:jc w:val="center"/>
              <w:rPr>
                <w:rStyle w:val="Strong"/>
                <w:rFonts w:ascii="Arial" w:hAnsi="Arial" w:cs="Arial"/>
                <w:sz w:val="24"/>
                <w:szCs w:val="24"/>
              </w:rPr>
            </w:pPr>
            <w:r>
              <w:rPr>
                <w:rStyle w:val="Strong"/>
                <w:rFonts w:ascii="Arial" w:hAnsi="Arial" w:cs="Arial"/>
                <w:sz w:val="24"/>
                <w:szCs w:val="24"/>
              </w:rPr>
              <w:t>Actual</w:t>
            </w:r>
          </w:p>
          <w:p w:rsidR="00DC1C48" w:rsidRPr="00146EE3" w:rsidRDefault="00DC1C48" w:rsidP="00BF2F87">
            <w:pPr>
              <w:pStyle w:val="ListParagraph"/>
              <w:ind w:left="0"/>
              <w:jc w:val="center"/>
              <w:rPr>
                <w:rStyle w:val="Strong"/>
                <w:rFonts w:ascii="Arial" w:hAnsi="Arial" w:cs="Arial"/>
                <w:sz w:val="24"/>
                <w:szCs w:val="24"/>
              </w:rPr>
            </w:pPr>
            <w:r>
              <w:rPr>
                <w:rStyle w:val="Strong"/>
                <w:rFonts w:ascii="Arial" w:hAnsi="Arial" w:cs="Arial"/>
                <w:sz w:val="24"/>
                <w:szCs w:val="24"/>
              </w:rPr>
              <w:t>Reported</w:t>
            </w:r>
            <w:r w:rsidR="00CB01AB">
              <w:rPr>
                <w:rStyle w:val="Strong"/>
                <w:rFonts w:ascii="Arial" w:hAnsi="Arial" w:cs="Arial"/>
                <w:sz w:val="24"/>
                <w:szCs w:val="24"/>
              </w:rPr>
              <w:t xml:space="preserve"> (4%)</w:t>
            </w:r>
          </w:p>
        </w:tc>
        <w:tc>
          <w:tcPr>
            <w:tcW w:w="1980" w:type="dxa"/>
          </w:tcPr>
          <w:p w:rsidR="00CB01AB" w:rsidRDefault="00CB01AB" w:rsidP="00BF2F87">
            <w:pPr>
              <w:pStyle w:val="ListParagraph"/>
              <w:ind w:left="0"/>
              <w:jc w:val="center"/>
              <w:rPr>
                <w:rStyle w:val="Strong"/>
                <w:rFonts w:ascii="Arial" w:hAnsi="Arial" w:cs="Arial"/>
                <w:sz w:val="24"/>
                <w:szCs w:val="24"/>
              </w:rPr>
            </w:pPr>
            <w:r>
              <w:rPr>
                <w:rStyle w:val="Strong"/>
                <w:rFonts w:ascii="Arial" w:hAnsi="Arial" w:cs="Arial"/>
                <w:sz w:val="24"/>
                <w:szCs w:val="24"/>
              </w:rPr>
              <w:t>“Insomnia”</w:t>
            </w:r>
          </w:p>
          <w:p w:rsidR="00DC1C48" w:rsidRPr="00146EE3" w:rsidRDefault="00DC1C48" w:rsidP="00BF2F87">
            <w:pPr>
              <w:pStyle w:val="ListParagraph"/>
              <w:ind w:left="0"/>
              <w:jc w:val="center"/>
              <w:rPr>
                <w:rStyle w:val="Strong"/>
                <w:rFonts w:ascii="Arial" w:hAnsi="Arial" w:cs="Arial"/>
                <w:sz w:val="24"/>
                <w:szCs w:val="24"/>
              </w:rPr>
            </w:pPr>
            <w:r>
              <w:rPr>
                <w:rStyle w:val="Strong"/>
                <w:rFonts w:ascii="Arial" w:hAnsi="Arial" w:cs="Arial"/>
                <w:sz w:val="24"/>
                <w:szCs w:val="24"/>
              </w:rPr>
              <w:t>Assuming Only 10% Were Reported</w:t>
            </w:r>
          </w:p>
        </w:tc>
        <w:tc>
          <w:tcPr>
            <w:tcW w:w="2065" w:type="dxa"/>
          </w:tcPr>
          <w:p w:rsidR="00CB01AB" w:rsidRDefault="00CB01AB" w:rsidP="00BF2F87">
            <w:pPr>
              <w:pStyle w:val="ListParagraph"/>
              <w:ind w:left="0"/>
              <w:jc w:val="center"/>
              <w:rPr>
                <w:rStyle w:val="Strong"/>
                <w:rFonts w:ascii="Arial" w:hAnsi="Arial" w:cs="Arial"/>
                <w:sz w:val="24"/>
                <w:szCs w:val="24"/>
              </w:rPr>
            </w:pPr>
            <w:r>
              <w:rPr>
                <w:rStyle w:val="Strong"/>
                <w:rFonts w:ascii="Arial" w:hAnsi="Arial" w:cs="Arial"/>
                <w:sz w:val="24"/>
                <w:szCs w:val="24"/>
              </w:rPr>
              <w:t>“Insomnia”</w:t>
            </w:r>
          </w:p>
          <w:p w:rsidR="00DC1C48" w:rsidRPr="00146EE3" w:rsidRDefault="00CB01AB" w:rsidP="00BF2F87">
            <w:pPr>
              <w:pStyle w:val="ListParagraph"/>
              <w:ind w:left="0"/>
              <w:jc w:val="center"/>
              <w:rPr>
                <w:rStyle w:val="Strong"/>
                <w:rFonts w:ascii="Arial" w:hAnsi="Arial" w:cs="Arial"/>
                <w:sz w:val="24"/>
                <w:szCs w:val="24"/>
              </w:rPr>
            </w:pPr>
            <w:r>
              <w:rPr>
                <w:rStyle w:val="Strong"/>
                <w:rFonts w:ascii="Arial" w:hAnsi="Arial" w:cs="Arial"/>
                <w:sz w:val="24"/>
                <w:szCs w:val="24"/>
              </w:rPr>
              <w:t>A</w:t>
            </w:r>
            <w:r w:rsidR="00DC1C48">
              <w:rPr>
                <w:rStyle w:val="Strong"/>
                <w:rFonts w:ascii="Arial" w:hAnsi="Arial" w:cs="Arial"/>
                <w:sz w:val="24"/>
                <w:szCs w:val="24"/>
              </w:rPr>
              <w:t>ssuming Only 1% Were Reported</w:t>
            </w:r>
          </w:p>
        </w:tc>
      </w:tr>
      <w:tr w:rsidR="00DC1C48" w:rsidTr="00BF2F87">
        <w:tc>
          <w:tcPr>
            <w:tcW w:w="3055" w:type="dxa"/>
          </w:tcPr>
          <w:p w:rsidR="00DC1C48" w:rsidRDefault="00CB01AB" w:rsidP="00BF2F87">
            <w:pPr>
              <w:pStyle w:val="ListParagraph"/>
              <w:ind w:left="0"/>
              <w:rPr>
                <w:rStyle w:val="Strong"/>
                <w:rFonts w:ascii="Arial" w:hAnsi="Arial" w:cs="Arial"/>
                <w:b w:val="0"/>
                <w:sz w:val="24"/>
                <w:szCs w:val="24"/>
              </w:rPr>
            </w:pPr>
            <w:r>
              <w:rPr>
                <w:rStyle w:val="Strong"/>
                <w:rFonts w:ascii="Arial" w:hAnsi="Arial" w:cs="Arial"/>
                <w:b w:val="0"/>
                <w:sz w:val="24"/>
                <w:szCs w:val="24"/>
              </w:rPr>
              <w:t>4</w:t>
            </w:r>
            <w:r w:rsidR="00DC1C48">
              <w:rPr>
                <w:rStyle w:val="Strong"/>
                <w:rFonts w:ascii="Arial" w:hAnsi="Arial" w:cs="Arial"/>
                <w:b w:val="0"/>
                <w:sz w:val="24"/>
                <w:szCs w:val="24"/>
              </w:rPr>
              <w:t>% of Reported Adverse Events are “Insomnia”</w:t>
            </w:r>
          </w:p>
        </w:tc>
        <w:tc>
          <w:tcPr>
            <w:tcW w:w="2250" w:type="dxa"/>
          </w:tcPr>
          <w:p w:rsidR="00DC1C48" w:rsidRDefault="00DC1C48" w:rsidP="00BF2F87">
            <w:pPr>
              <w:pStyle w:val="ListParagraph"/>
              <w:ind w:left="0"/>
              <w:jc w:val="center"/>
              <w:rPr>
                <w:rStyle w:val="Strong"/>
                <w:rFonts w:ascii="Arial" w:hAnsi="Arial" w:cs="Arial"/>
                <w:b w:val="0"/>
                <w:sz w:val="24"/>
                <w:szCs w:val="24"/>
              </w:rPr>
            </w:pPr>
          </w:p>
          <w:p w:rsidR="00DC1C48" w:rsidRDefault="00CB01AB"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3,173</w:t>
            </w:r>
          </w:p>
        </w:tc>
        <w:tc>
          <w:tcPr>
            <w:tcW w:w="1980" w:type="dxa"/>
          </w:tcPr>
          <w:p w:rsidR="00DC1C48" w:rsidRDefault="00DC1C48" w:rsidP="00BF2F87">
            <w:pPr>
              <w:pStyle w:val="ListParagraph"/>
              <w:ind w:left="0"/>
              <w:jc w:val="center"/>
              <w:rPr>
                <w:rStyle w:val="Strong"/>
                <w:rFonts w:ascii="Arial" w:hAnsi="Arial" w:cs="Arial"/>
                <w:b w:val="0"/>
                <w:sz w:val="24"/>
                <w:szCs w:val="24"/>
              </w:rPr>
            </w:pPr>
          </w:p>
          <w:p w:rsidR="00DC1C48" w:rsidRDefault="00CB01AB"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31,730</w:t>
            </w:r>
          </w:p>
        </w:tc>
        <w:tc>
          <w:tcPr>
            <w:tcW w:w="2065" w:type="dxa"/>
          </w:tcPr>
          <w:p w:rsidR="00DC1C48" w:rsidRDefault="00DC1C48" w:rsidP="00BF2F87">
            <w:pPr>
              <w:pStyle w:val="ListParagraph"/>
              <w:ind w:left="0"/>
              <w:jc w:val="center"/>
              <w:rPr>
                <w:rStyle w:val="Strong"/>
                <w:rFonts w:ascii="Arial" w:hAnsi="Arial" w:cs="Arial"/>
                <w:b w:val="0"/>
                <w:sz w:val="24"/>
                <w:szCs w:val="24"/>
              </w:rPr>
            </w:pPr>
          </w:p>
          <w:p w:rsidR="00DC1C48" w:rsidRDefault="00CB01AB"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317,300</w:t>
            </w:r>
          </w:p>
        </w:tc>
      </w:tr>
      <w:tr w:rsidR="00CB01AB" w:rsidTr="00BF2F87">
        <w:tc>
          <w:tcPr>
            <w:tcW w:w="3055" w:type="dxa"/>
          </w:tcPr>
          <w:p w:rsidR="00CB01AB" w:rsidRDefault="00CB01AB" w:rsidP="00CB01AB">
            <w:pPr>
              <w:pStyle w:val="ListParagraph"/>
              <w:ind w:left="0"/>
              <w:rPr>
                <w:rStyle w:val="Strong"/>
                <w:rFonts w:ascii="Arial" w:hAnsi="Arial" w:cs="Arial"/>
                <w:b w:val="0"/>
                <w:sz w:val="24"/>
                <w:szCs w:val="24"/>
              </w:rPr>
            </w:pPr>
            <w:r>
              <w:rPr>
                <w:rStyle w:val="Strong"/>
                <w:rFonts w:ascii="Arial" w:hAnsi="Arial" w:cs="Arial"/>
                <w:b w:val="0"/>
                <w:sz w:val="24"/>
                <w:szCs w:val="24"/>
              </w:rPr>
              <w:t xml:space="preserve">Estimated Annual </w:t>
            </w:r>
            <w:r w:rsidR="00FB24A0">
              <w:rPr>
                <w:rStyle w:val="Strong"/>
                <w:rFonts w:ascii="Arial" w:hAnsi="Arial" w:cs="Arial"/>
                <w:b w:val="0"/>
                <w:sz w:val="24"/>
                <w:szCs w:val="24"/>
              </w:rPr>
              <w:t xml:space="preserve">Direct </w:t>
            </w:r>
            <w:r>
              <w:rPr>
                <w:rStyle w:val="Strong"/>
                <w:rFonts w:ascii="Arial" w:hAnsi="Arial" w:cs="Arial"/>
                <w:b w:val="0"/>
                <w:sz w:val="24"/>
                <w:szCs w:val="24"/>
              </w:rPr>
              <w:t>Cost to Treat “Insomnia” per Person:  $2,800</w:t>
            </w:r>
          </w:p>
        </w:tc>
        <w:tc>
          <w:tcPr>
            <w:tcW w:w="2250" w:type="dxa"/>
          </w:tcPr>
          <w:p w:rsidR="00CB01AB" w:rsidRDefault="00CB01AB" w:rsidP="00CB01AB">
            <w:pPr>
              <w:pStyle w:val="ListParagraph"/>
              <w:ind w:left="0"/>
              <w:jc w:val="center"/>
              <w:rPr>
                <w:rStyle w:val="Strong"/>
                <w:rFonts w:ascii="Arial" w:hAnsi="Arial" w:cs="Arial"/>
                <w:b w:val="0"/>
                <w:sz w:val="24"/>
                <w:szCs w:val="24"/>
              </w:rPr>
            </w:pPr>
          </w:p>
          <w:p w:rsidR="00CB01AB" w:rsidRDefault="00CB01AB" w:rsidP="00CB01AB">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CB01AB" w:rsidRDefault="00CB01AB" w:rsidP="00CB01AB">
            <w:pPr>
              <w:pStyle w:val="ListParagraph"/>
              <w:ind w:left="0"/>
              <w:jc w:val="center"/>
              <w:rPr>
                <w:rStyle w:val="Strong"/>
                <w:rFonts w:ascii="Arial" w:hAnsi="Arial" w:cs="Arial"/>
                <w:b w:val="0"/>
                <w:sz w:val="24"/>
                <w:szCs w:val="24"/>
              </w:rPr>
            </w:pPr>
            <w:r>
              <w:rPr>
                <w:rStyle w:val="Strong"/>
                <w:rFonts w:ascii="Arial" w:hAnsi="Arial" w:cs="Arial"/>
                <w:b w:val="0"/>
                <w:sz w:val="24"/>
                <w:szCs w:val="24"/>
              </w:rPr>
              <w:t>$8,884,400</w:t>
            </w:r>
          </w:p>
        </w:tc>
        <w:tc>
          <w:tcPr>
            <w:tcW w:w="1980" w:type="dxa"/>
          </w:tcPr>
          <w:p w:rsidR="00CB01AB" w:rsidRDefault="00CB01AB" w:rsidP="00CB01AB">
            <w:pPr>
              <w:pStyle w:val="ListParagraph"/>
              <w:ind w:left="0"/>
              <w:jc w:val="center"/>
              <w:rPr>
                <w:rStyle w:val="Strong"/>
                <w:rFonts w:ascii="Arial" w:hAnsi="Arial" w:cs="Arial"/>
                <w:b w:val="0"/>
                <w:sz w:val="24"/>
                <w:szCs w:val="24"/>
              </w:rPr>
            </w:pPr>
          </w:p>
          <w:p w:rsidR="00CB01AB" w:rsidRDefault="00CB01AB" w:rsidP="00CB01AB">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CB01AB" w:rsidRDefault="009936B1" w:rsidP="009936B1">
            <w:pPr>
              <w:pStyle w:val="ListParagraph"/>
              <w:ind w:left="0"/>
              <w:jc w:val="center"/>
              <w:rPr>
                <w:rStyle w:val="Strong"/>
                <w:rFonts w:ascii="Arial" w:hAnsi="Arial" w:cs="Arial"/>
                <w:b w:val="0"/>
                <w:sz w:val="24"/>
                <w:szCs w:val="24"/>
              </w:rPr>
            </w:pPr>
            <w:r>
              <w:rPr>
                <w:rStyle w:val="Strong"/>
                <w:rFonts w:ascii="Arial" w:hAnsi="Arial" w:cs="Arial"/>
                <w:b w:val="0"/>
                <w:sz w:val="24"/>
                <w:szCs w:val="24"/>
              </w:rPr>
              <w:t>$88,844,000</w:t>
            </w:r>
          </w:p>
        </w:tc>
        <w:tc>
          <w:tcPr>
            <w:tcW w:w="2065" w:type="dxa"/>
          </w:tcPr>
          <w:p w:rsidR="00CB01AB" w:rsidRDefault="00CB01AB" w:rsidP="00CB01AB">
            <w:pPr>
              <w:pStyle w:val="ListParagraph"/>
              <w:ind w:left="0"/>
              <w:jc w:val="center"/>
              <w:rPr>
                <w:rStyle w:val="Strong"/>
                <w:rFonts w:ascii="Arial" w:hAnsi="Arial" w:cs="Arial"/>
                <w:b w:val="0"/>
                <w:sz w:val="24"/>
                <w:szCs w:val="24"/>
              </w:rPr>
            </w:pPr>
          </w:p>
          <w:p w:rsidR="00CB01AB" w:rsidRDefault="00CB01AB" w:rsidP="00CB01AB">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CB01AB" w:rsidRDefault="00CB01AB" w:rsidP="00CB01AB">
            <w:pPr>
              <w:pStyle w:val="ListParagraph"/>
              <w:ind w:left="0"/>
              <w:jc w:val="center"/>
              <w:rPr>
                <w:rStyle w:val="Strong"/>
                <w:rFonts w:ascii="Arial" w:hAnsi="Arial" w:cs="Arial"/>
                <w:b w:val="0"/>
                <w:sz w:val="24"/>
                <w:szCs w:val="24"/>
              </w:rPr>
            </w:pPr>
            <w:r>
              <w:rPr>
                <w:rStyle w:val="Strong"/>
                <w:rFonts w:ascii="Arial" w:hAnsi="Arial" w:cs="Arial"/>
                <w:b w:val="0"/>
                <w:sz w:val="24"/>
                <w:szCs w:val="24"/>
              </w:rPr>
              <w:t>$</w:t>
            </w:r>
            <w:r w:rsidR="009936B1">
              <w:rPr>
                <w:rStyle w:val="Strong"/>
                <w:rFonts w:ascii="Arial" w:hAnsi="Arial" w:cs="Arial"/>
                <w:b w:val="0"/>
                <w:sz w:val="24"/>
                <w:szCs w:val="24"/>
              </w:rPr>
              <w:t>888,440,000</w:t>
            </w:r>
          </w:p>
        </w:tc>
      </w:tr>
    </w:tbl>
    <w:p w:rsidR="00DC1C48" w:rsidRDefault="00DC1C48" w:rsidP="00D95A09">
      <w:pPr>
        <w:pStyle w:val="ListParagraph"/>
        <w:ind w:left="0"/>
        <w:rPr>
          <w:rFonts w:ascii="Arial" w:hAnsi="Arial" w:cs="Arial"/>
          <w:bCs/>
          <w:sz w:val="24"/>
          <w:szCs w:val="24"/>
        </w:rPr>
      </w:pPr>
    </w:p>
    <w:p w:rsidR="00A81B7F" w:rsidRDefault="00A81B7F">
      <w:pPr>
        <w:rPr>
          <w:rFonts w:ascii="Arial" w:hAnsi="Arial" w:cs="Arial"/>
          <w:bCs/>
          <w:sz w:val="24"/>
          <w:szCs w:val="24"/>
          <w:u w:val="single"/>
        </w:rPr>
      </w:pPr>
      <w:r>
        <w:rPr>
          <w:rFonts w:ascii="Arial" w:hAnsi="Arial" w:cs="Arial"/>
          <w:bCs/>
          <w:sz w:val="24"/>
          <w:szCs w:val="24"/>
          <w:u w:val="single"/>
        </w:rPr>
        <w:br w:type="page"/>
      </w:r>
    </w:p>
    <w:p w:rsidR="00B3345C" w:rsidRDefault="00D95089" w:rsidP="00D95A09">
      <w:pPr>
        <w:pStyle w:val="ListParagraph"/>
        <w:ind w:left="0"/>
        <w:rPr>
          <w:rFonts w:ascii="Arial" w:hAnsi="Arial" w:cs="Arial"/>
          <w:bCs/>
          <w:sz w:val="24"/>
          <w:szCs w:val="24"/>
        </w:rPr>
      </w:pPr>
      <w:proofErr w:type="gramStart"/>
      <w:r w:rsidRPr="00D95089">
        <w:rPr>
          <w:rFonts w:ascii="Arial" w:hAnsi="Arial" w:cs="Arial"/>
          <w:bCs/>
          <w:sz w:val="24"/>
          <w:szCs w:val="24"/>
          <w:u w:val="single"/>
        </w:rPr>
        <w:lastRenderedPageBreak/>
        <w:t>Painful Ne</w:t>
      </w:r>
      <w:r>
        <w:rPr>
          <w:rFonts w:ascii="Arial" w:hAnsi="Arial" w:cs="Arial"/>
          <w:bCs/>
          <w:sz w:val="24"/>
          <w:szCs w:val="24"/>
          <w:u w:val="single"/>
        </w:rPr>
        <w:t>u</w:t>
      </w:r>
      <w:r w:rsidRPr="00D95089">
        <w:rPr>
          <w:rFonts w:ascii="Arial" w:hAnsi="Arial" w:cs="Arial"/>
          <w:bCs/>
          <w:sz w:val="24"/>
          <w:szCs w:val="24"/>
          <w:u w:val="single"/>
        </w:rPr>
        <w:t>ropathic Disorder (PND).</w:t>
      </w:r>
      <w:proofErr w:type="gramEnd"/>
      <w:r>
        <w:rPr>
          <w:rFonts w:ascii="Arial" w:hAnsi="Arial" w:cs="Arial"/>
          <w:bCs/>
          <w:sz w:val="24"/>
          <w:szCs w:val="24"/>
        </w:rPr>
        <w:t xml:space="preserve">  </w:t>
      </w:r>
      <w:r w:rsidR="00B3345C">
        <w:rPr>
          <w:rFonts w:ascii="Arial" w:hAnsi="Arial" w:cs="Arial"/>
          <w:bCs/>
          <w:sz w:val="24"/>
          <w:szCs w:val="24"/>
        </w:rPr>
        <w:t>The estimated annual cost of medical care for</w:t>
      </w:r>
      <w:r w:rsidR="00345F11">
        <w:rPr>
          <w:rFonts w:ascii="Arial" w:hAnsi="Arial" w:cs="Arial"/>
          <w:bCs/>
          <w:sz w:val="24"/>
          <w:szCs w:val="24"/>
        </w:rPr>
        <w:t xml:space="preserve"> “Painful Neuropathic Disorder (PND)”</w:t>
      </w:r>
      <w:r w:rsidR="00B3345C">
        <w:rPr>
          <w:rFonts w:ascii="Arial" w:hAnsi="Arial" w:cs="Arial"/>
          <w:bCs/>
          <w:sz w:val="24"/>
          <w:szCs w:val="24"/>
        </w:rPr>
        <w:t xml:space="preserve"> per person is $</w:t>
      </w:r>
      <w:r w:rsidR="00345F11">
        <w:rPr>
          <w:rFonts w:ascii="Arial" w:hAnsi="Arial" w:cs="Arial"/>
          <w:bCs/>
          <w:sz w:val="24"/>
          <w:szCs w:val="24"/>
        </w:rPr>
        <w:t>17,000</w:t>
      </w:r>
      <w:r w:rsidR="00B3345C">
        <w:rPr>
          <w:rFonts w:ascii="Arial" w:hAnsi="Arial" w:cs="Arial"/>
          <w:bCs/>
          <w:sz w:val="24"/>
          <w:szCs w:val="24"/>
        </w:rPr>
        <w:t>.  (</w:t>
      </w:r>
      <w:r w:rsidR="00345F11">
        <w:rPr>
          <w:rFonts w:ascii="Arial" w:hAnsi="Arial" w:cs="Arial"/>
          <w:bCs/>
          <w:sz w:val="24"/>
          <w:szCs w:val="24"/>
        </w:rPr>
        <w:t>Berger A, Dukes, EM, Oster, “Clinical characteristics and economic costs of patients with painful neuropathic disorders.” Journal of Pain</w:t>
      </w:r>
      <w:r w:rsidR="00B3345C">
        <w:rPr>
          <w:rFonts w:ascii="Arial" w:hAnsi="Arial" w:cs="Arial"/>
          <w:bCs/>
          <w:sz w:val="24"/>
          <w:szCs w:val="24"/>
        </w:rPr>
        <w:t xml:space="preserve">, </w:t>
      </w:r>
      <w:r w:rsidR="00345F11">
        <w:rPr>
          <w:rFonts w:ascii="Arial" w:hAnsi="Arial" w:cs="Arial"/>
          <w:bCs/>
          <w:sz w:val="24"/>
          <w:szCs w:val="24"/>
        </w:rPr>
        <w:t xml:space="preserve">April 5, </w:t>
      </w:r>
      <w:r w:rsidR="00B3345C">
        <w:rPr>
          <w:rFonts w:ascii="Arial" w:hAnsi="Arial" w:cs="Arial"/>
          <w:bCs/>
          <w:sz w:val="24"/>
          <w:szCs w:val="24"/>
        </w:rPr>
        <w:t>200</w:t>
      </w:r>
      <w:r w:rsidR="00345F11">
        <w:rPr>
          <w:rFonts w:ascii="Arial" w:hAnsi="Arial" w:cs="Arial"/>
          <w:bCs/>
          <w:sz w:val="24"/>
          <w:szCs w:val="24"/>
        </w:rPr>
        <w:t>4</w:t>
      </w:r>
      <w:r w:rsidR="00B3345C">
        <w:rPr>
          <w:rFonts w:ascii="Arial" w:hAnsi="Arial" w:cs="Arial"/>
          <w:bCs/>
          <w:sz w:val="24"/>
          <w:szCs w:val="24"/>
        </w:rPr>
        <w:t xml:space="preserve">)  </w:t>
      </w:r>
    </w:p>
    <w:p w:rsidR="0068024E" w:rsidRDefault="0068024E" w:rsidP="0068024E">
      <w:pPr>
        <w:pStyle w:val="ListParagraph"/>
        <w:ind w:left="0"/>
        <w:rPr>
          <w:rStyle w:val="Strong"/>
          <w:rFonts w:ascii="Arial" w:hAnsi="Arial" w:cs="Arial"/>
          <w:b w:val="0"/>
          <w:sz w:val="24"/>
          <w:szCs w:val="24"/>
        </w:rPr>
      </w:pPr>
    </w:p>
    <w:tbl>
      <w:tblPr>
        <w:tblStyle w:val="TableGrid"/>
        <w:tblW w:w="0" w:type="auto"/>
        <w:tblLook w:val="04A0" w:firstRow="1" w:lastRow="0" w:firstColumn="1" w:lastColumn="0" w:noHBand="0" w:noVBand="1"/>
      </w:tblPr>
      <w:tblGrid>
        <w:gridCol w:w="3145"/>
        <w:gridCol w:w="2160"/>
        <w:gridCol w:w="1980"/>
        <w:gridCol w:w="2065"/>
      </w:tblGrid>
      <w:tr w:rsidR="0068024E" w:rsidTr="00BF2F87">
        <w:tc>
          <w:tcPr>
            <w:tcW w:w="9350" w:type="dxa"/>
            <w:gridSpan w:val="4"/>
          </w:tcPr>
          <w:p w:rsidR="0068024E"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68024E" w:rsidRDefault="008F3C07" w:rsidP="00BF2F87">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68024E">
              <w:rPr>
                <w:rStyle w:val="Strong"/>
                <w:rFonts w:ascii="Arial" w:hAnsi="Arial" w:cs="Arial"/>
                <w:sz w:val="24"/>
                <w:szCs w:val="24"/>
              </w:rPr>
              <w:t>Adverse Event Reporting System (</w:t>
            </w:r>
            <w:r>
              <w:rPr>
                <w:rStyle w:val="Strong"/>
                <w:rFonts w:ascii="Arial" w:hAnsi="Arial" w:cs="Arial"/>
                <w:sz w:val="24"/>
                <w:szCs w:val="24"/>
              </w:rPr>
              <w:t>F</w:t>
            </w:r>
            <w:r w:rsidR="0068024E">
              <w:rPr>
                <w:rStyle w:val="Strong"/>
                <w:rFonts w:ascii="Arial" w:hAnsi="Arial" w:cs="Arial"/>
                <w:sz w:val="24"/>
                <w:szCs w:val="24"/>
              </w:rPr>
              <w:t xml:space="preserve">AERS) </w:t>
            </w:r>
          </w:p>
          <w:p w:rsidR="0068024E" w:rsidRPr="00146EE3"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November 1, 1997 – February 3, 2011</w:t>
            </w:r>
          </w:p>
        </w:tc>
      </w:tr>
      <w:tr w:rsidR="0068024E" w:rsidTr="00237B4D">
        <w:tc>
          <w:tcPr>
            <w:tcW w:w="3145" w:type="dxa"/>
          </w:tcPr>
          <w:p w:rsidR="0068024E" w:rsidRDefault="0068024E" w:rsidP="00BF2F87">
            <w:pPr>
              <w:pStyle w:val="ListParagraph"/>
              <w:ind w:left="0"/>
              <w:rPr>
                <w:rStyle w:val="Strong"/>
                <w:rFonts w:ascii="Arial" w:hAnsi="Arial" w:cs="Arial"/>
                <w:b w:val="0"/>
                <w:sz w:val="24"/>
                <w:szCs w:val="24"/>
              </w:rPr>
            </w:pPr>
          </w:p>
        </w:tc>
        <w:tc>
          <w:tcPr>
            <w:tcW w:w="2160" w:type="dxa"/>
          </w:tcPr>
          <w:p w:rsidR="0068024E" w:rsidRDefault="00A157AA" w:rsidP="00BF2F87">
            <w:pPr>
              <w:pStyle w:val="ListParagraph"/>
              <w:ind w:left="0"/>
              <w:jc w:val="center"/>
              <w:rPr>
                <w:rStyle w:val="Strong"/>
                <w:rFonts w:ascii="Arial" w:hAnsi="Arial" w:cs="Arial"/>
                <w:sz w:val="24"/>
                <w:szCs w:val="24"/>
              </w:rPr>
            </w:pPr>
            <w:r>
              <w:rPr>
                <w:rStyle w:val="Strong"/>
                <w:rFonts w:ascii="Arial" w:hAnsi="Arial" w:cs="Arial"/>
                <w:sz w:val="24"/>
                <w:szCs w:val="24"/>
              </w:rPr>
              <w:t>“Pain”</w:t>
            </w:r>
          </w:p>
          <w:p w:rsidR="0068024E"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Actual</w:t>
            </w:r>
          </w:p>
          <w:p w:rsidR="0068024E" w:rsidRPr="00146EE3"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Reported</w:t>
            </w:r>
          </w:p>
        </w:tc>
        <w:tc>
          <w:tcPr>
            <w:tcW w:w="1980" w:type="dxa"/>
          </w:tcPr>
          <w:p w:rsidR="00A157AA" w:rsidRDefault="00A157AA" w:rsidP="00BF2F87">
            <w:pPr>
              <w:pStyle w:val="ListParagraph"/>
              <w:ind w:left="0"/>
              <w:jc w:val="center"/>
              <w:rPr>
                <w:rStyle w:val="Strong"/>
                <w:rFonts w:ascii="Arial" w:hAnsi="Arial" w:cs="Arial"/>
                <w:sz w:val="24"/>
                <w:szCs w:val="24"/>
              </w:rPr>
            </w:pPr>
            <w:r>
              <w:rPr>
                <w:rStyle w:val="Strong"/>
                <w:rFonts w:ascii="Arial" w:hAnsi="Arial" w:cs="Arial"/>
                <w:sz w:val="24"/>
                <w:szCs w:val="24"/>
              </w:rPr>
              <w:t>“Pain”</w:t>
            </w:r>
          </w:p>
          <w:p w:rsidR="0068024E" w:rsidRPr="00146EE3"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Assuming Only 10% Were Reported</w:t>
            </w:r>
          </w:p>
        </w:tc>
        <w:tc>
          <w:tcPr>
            <w:tcW w:w="2065" w:type="dxa"/>
          </w:tcPr>
          <w:p w:rsidR="00A157AA" w:rsidRDefault="00A157AA" w:rsidP="00BF2F87">
            <w:pPr>
              <w:pStyle w:val="ListParagraph"/>
              <w:ind w:left="0"/>
              <w:jc w:val="center"/>
              <w:rPr>
                <w:rStyle w:val="Strong"/>
                <w:rFonts w:ascii="Arial" w:hAnsi="Arial" w:cs="Arial"/>
                <w:sz w:val="24"/>
                <w:szCs w:val="24"/>
              </w:rPr>
            </w:pPr>
            <w:r>
              <w:rPr>
                <w:rStyle w:val="Strong"/>
                <w:rFonts w:ascii="Arial" w:hAnsi="Arial" w:cs="Arial"/>
                <w:sz w:val="24"/>
                <w:szCs w:val="24"/>
              </w:rPr>
              <w:t>“Pain”</w:t>
            </w:r>
          </w:p>
          <w:p w:rsidR="0068024E" w:rsidRPr="00146EE3" w:rsidRDefault="0068024E" w:rsidP="00BF2F87">
            <w:pPr>
              <w:pStyle w:val="ListParagraph"/>
              <w:ind w:left="0"/>
              <w:jc w:val="center"/>
              <w:rPr>
                <w:rStyle w:val="Strong"/>
                <w:rFonts w:ascii="Arial" w:hAnsi="Arial" w:cs="Arial"/>
                <w:sz w:val="24"/>
                <w:szCs w:val="24"/>
              </w:rPr>
            </w:pPr>
            <w:r>
              <w:rPr>
                <w:rStyle w:val="Strong"/>
                <w:rFonts w:ascii="Arial" w:hAnsi="Arial" w:cs="Arial"/>
                <w:sz w:val="24"/>
                <w:szCs w:val="24"/>
              </w:rPr>
              <w:t>Assuming Only 1% Were Reported</w:t>
            </w:r>
          </w:p>
        </w:tc>
      </w:tr>
      <w:tr w:rsidR="003B6D85" w:rsidTr="00237B4D">
        <w:tc>
          <w:tcPr>
            <w:tcW w:w="3145" w:type="dxa"/>
          </w:tcPr>
          <w:p w:rsidR="003B6D85" w:rsidRDefault="003B6D85" w:rsidP="00BF2F87">
            <w:pPr>
              <w:pStyle w:val="ListParagraph"/>
              <w:ind w:left="0"/>
              <w:rPr>
                <w:rStyle w:val="Strong"/>
                <w:rFonts w:ascii="Arial" w:hAnsi="Arial" w:cs="Arial"/>
                <w:b w:val="0"/>
                <w:sz w:val="24"/>
                <w:szCs w:val="24"/>
              </w:rPr>
            </w:pPr>
            <w:r>
              <w:rPr>
                <w:rStyle w:val="Strong"/>
                <w:rFonts w:ascii="Arial" w:hAnsi="Arial" w:cs="Arial"/>
                <w:b w:val="0"/>
                <w:sz w:val="24"/>
                <w:szCs w:val="24"/>
              </w:rPr>
              <w:t>3% of Reported Adverse Events are “Pain”</w:t>
            </w:r>
          </w:p>
        </w:tc>
        <w:tc>
          <w:tcPr>
            <w:tcW w:w="2160" w:type="dxa"/>
          </w:tcPr>
          <w:p w:rsidR="003B6D85" w:rsidRDefault="003B6D85" w:rsidP="00BF2F87">
            <w:pPr>
              <w:pStyle w:val="ListParagraph"/>
              <w:ind w:left="0"/>
              <w:jc w:val="center"/>
              <w:rPr>
                <w:rStyle w:val="Strong"/>
                <w:rFonts w:ascii="Arial" w:hAnsi="Arial" w:cs="Arial"/>
                <w:b w:val="0"/>
                <w:sz w:val="24"/>
                <w:szCs w:val="24"/>
              </w:rPr>
            </w:pPr>
          </w:p>
          <w:p w:rsidR="003B6D85" w:rsidRDefault="003B6D85"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2,380</w:t>
            </w:r>
          </w:p>
        </w:tc>
        <w:tc>
          <w:tcPr>
            <w:tcW w:w="1980" w:type="dxa"/>
          </w:tcPr>
          <w:p w:rsidR="003B6D85" w:rsidRDefault="003B6D85" w:rsidP="00BF2F87">
            <w:pPr>
              <w:pStyle w:val="ListParagraph"/>
              <w:ind w:left="0"/>
              <w:jc w:val="center"/>
              <w:rPr>
                <w:rStyle w:val="Strong"/>
                <w:rFonts w:ascii="Arial" w:hAnsi="Arial" w:cs="Arial"/>
                <w:b w:val="0"/>
                <w:sz w:val="24"/>
                <w:szCs w:val="24"/>
              </w:rPr>
            </w:pPr>
          </w:p>
          <w:p w:rsidR="003B6D85" w:rsidRDefault="003B6D85"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23,800</w:t>
            </w:r>
          </w:p>
        </w:tc>
        <w:tc>
          <w:tcPr>
            <w:tcW w:w="2065" w:type="dxa"/>
          </w:tcPr>
          <w:p w:rsidR="003B6D85" w:rsidRDefault="003B6D85" w:rsidP="00BF2F87">
            <w:pPr>
              <w:pStyle w:val="ListParagraph"/>
              <w:ind w:left="0"/>
              <w:jc w:val="center"/>
              <w:rPr>
                <w:rStyle w:val="Strong"/>
                <w:rFonts w:ascii="Arial" w:hAnsi="Arial" w:cs="Arial"/>
                <w:b w:val="0"/>
                <w:sz w:val="24"/>
                <w:szCs w:val="24"/>
              </w:rPr>
            </w:pPr>
          </w:p>
          <w:p w:rsidR="003B6D85" w:rsidRDefault="003B6D85"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238,000</w:t>
            </w:r>
          </w:p>
        </w:tc>
      </w:tr>
      <w:tr w:rsidR="0068024E" w:rsidTr="00237B4D">
        <w:tc>
          <w:tcPr>
            <w:tcW w:w="3145" w:type="dxa"/>
          </w:tcPr>
          <w:p w:rsidR="0068024E" w:rsidRDefault="0068024E" w:rsidP="00BF2F87">
            <w:pPr>
              <w:pStyle w:val="ListParagraph"/>
              <w:ind w:left="0"/>
              <w:rPr>
                <w:rStyle w:val="Strong"/>
                <w:rFonts w:ascii="Arial" w:hAnsi="Arial" w:cs="Arial"/>
                <w:b w:val="0"/>
                <w:sz w:val="24"/>
                <w:szCs w:val="24"/>
              </w:rPr>
            </w:pPr>
            <w:r>
              <w:rPr>
                <w:rStyle w:val="Strong"/>
                <w:rFonts w:ascii="Arial" w:hAnsi="Arial" w:cs="Arial"/>
                <w:b w:val="0"/>
                <w:sz w:val="24"/>
                <w:szCs w:val="24"/>
              </w:rPr>
              <w:t xml:space="preserve">Estimated Annual </w:t>
            </w:r>
            <w:r w:rsidR="00FB24A0">
              <w:rPr>
                <w:rStyle w:val="Strong"/>
                <w:rFonts w:ascii="Arial" w:hAnsi="Arial" w:cs="Arial"/>
                <w:b w:val="0"/>
                <w:sz w:val="24"/>
                <w:szCs w:val="24"/>
              </w:rPr>
              <w:t xml:space="preserve">Direct </w:t>
            </w:r>
            <w:r>
              <w:rPr>
                <w:rStyle w:val="Strong"/>
                <w:rFonts w:ascii="Arial" w:hAnsi="Arial" w:cs="Arial"/>
                <w:b w:val="0"/>
                <w:sz w:val="24"/>
                <w:szCs w:val="24"/>
              </w:rPr>
              <w:t xml:space="preserve">Cost </w:t>
            </w:r>
            <w:r w:rsidR="00345F11">
              <w:rPr>
                <w:rStyle w:val="Strong"/>
                <w:rFonts w:ascii="Arial" w:hAnsi="Arial" w:cs="Arial"/>
                <w:b w:val="0"/>
                <w:sz w:val="24"/>
                <w:szCs w:val="24"/>
              </w:rPr>
              <w:t>to Treat Painful Neuropathic Disorder (PND)</w:t>
            </w:r>
            <w:r w:rsidR="00DC1C48">
              <w:rPr>
                <w:rStyle w:val="Strong"/>
                <w:rFonts w:ascii="Arial" w:hAnsi="Arial" w:cs="Arial"/>
                <w:b w:val="0"/>
                <w:sz w:val="24"/>
                <w:szCs w:val="24"/>
              </w:rPr>
              <w:t xml:space="preserve"> per Person:  $1</w:t>
            </w:r>
            <w:r w:rsidR="00345F11">
              <w:rPr>
                <w:rStyle w:val="Strong"/>
                <w:rFonts w:ascii="Arial" w:hAnsi="Arial" w:cs="Arial"/>
                <w:b w:val="0"/>
                <w:sz w:val="24"/>
                <w:szCs w:val="24"/>
              </w:rPr>
              <w:t>7,000</w:t>
            </w:r>
          </w:p>
        </w:tc>
        <w:tc>
          <w:tcPr>
            <w:tcW w:w="2160" w:type="dxa"/>
          </w:tcPr>
          <w:p w:rsidR="0068024E" w:rsidRDefault="0068024E" w:rsidP="00BF2F87">
            <w:pPr>
              <w:pStyle w:val="ListParagraph"/>
              <w:ind w:left="0"/>
              <w:jc w:val="center"/>
              <w:rPr>
                <w:rStyle w:val="Strong"/>
                <w:rFonts w:ascii="Arial" w:hAnsi="Arial" w:cs="Arial"/>
                <w:b w:val="0"/>
                <w:sz w:val="24"/>
                <w:szCs w:val="24"/>
              </w:rPr>
            </w:pPr>
          </w:p>
          <w:p w:rsidR="00DC1C48" w:rsidRDefault="00DC1C48"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68024E" w:rsidRDefault="00DC1C48" w:rsidP="00345F11">
            <w:pPr>
              <w:pStyle w:val="ListParagraph"/>
              <w:ind w:left="0"/>
              <w:jc w:val="center"/>
              <w:rPr>
                <w:rStyle w:val="Strong"/>
                <w:rFonts w:ascii="Arial" w:hAnsi="Arial" w:cs="Arial"/>
                <w:b w:val="0"/>
                <w:sz w:val="24"/>
                <w:szCs w:val="24"/>
              </w:rPr>
            </w:pPr>
            <w:r>
              <w:rPr>
                <w:rStyle w:val="Strong"/>
                <w:rFonts w:ascii="Arial" w:hAnsi="Arial" w:cs="Arial"/>
                <w:b w:val="0"/>
                <w:sz w:val="24"/>
                <w:szCs w:val="24"/>
              </w:rPr>
              <w:t>$</w:t>
            </w:r>
            <w:r w:rsidR="00345F11">
              <w:rPr>
                <w:rStyle w:val="Strong"/>
                <w:rFonts w:ascii="Arial" w:hAnsi="Arial" w:cs="Arial"/>
                <w:b w:val="0"/>
                <w:sz w:val="24"/>
                <w:szCs w:val="24"/>
              </w:rPr>
              <w:t>40,460,000</w:t>
            </w:r>
          </w:p>
        </w:tc>
        <w:tc>
          <w:tcPr>
            <w:tcW w:w="1980" w:type="dxa"/>
          </w:tcPr>
          <w:p w:rsidR="0068024E" w:rsidRDefault="0068024E" w:rsidP="00BF2F87">
            <w:pPr>
              <w:pStyle w:val="ListParagraph"/>
              <w:ind w:left="0"/>
              <w:jc w:val="center"/>
              <w:rPr>
                <w:rStyle w:val="Strong"/>
                <w:rFonts w:ascii="Arial" w:hAnsi="Arial" w:cs="Arial"/>
                <w:b w:val="0"/>
                <w:sz w:val="24"/>
                <w:szCs w:val="24"/>
              </w:rPr>
            </w:pPr>
          </w:p>
          <w:p w:rsidR="00DC1C48" w:rsidRDefault="00DC1C48"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3B6D85" w:rsidRDefault="00345F11"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$404,600,000</w:t>
            </w:r>
          </w:p>
        </w:tc>
        <w:tc>
          <w:tcPr>
            <w:tcW w:w="2065" w:type="dxa"/>
          </w:tcPr>
          <w:p w:rsidR="003B6D85" w:rsidRDefault="003B6D85" w:rsidP="00BF2F87">
            <w:pPr>
              <w:pStyle w:val="ListParagraph"/>
              <w:ind w:left="0"/>
              <w:jc w:val="center"/>
              <w:rPr>
                <w:rStyle w:val="Strong"/>
                <w:rFonts w:ascii="Arial" w:hAnsi="Arial" w:cs="Arial"/>
                <w:b w:val="0"/>
                <w:sz w:val="24"/>
                <w:szCs w:val="24"/>
              </w:rPr>
            </w:pPr>
          </w:p>
          <w:p w:rsidR="00DC1C48" w:rsidRDefault="00DC1C48"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68024E" w:rsidRDefault="00345F11" w:rsidP="00BF2F87">
            <w:pPr>
              <w:pStyle w:val="ListParagraph"/>
              <w:ind w:left="0"/>
              <w:jc w:val="center"/>
              <w:rPr>
                <w:rStyle w:val="Strong"/>
                <w:rFonts w:ascii="Arial" w:hAnsi="Arial" w:cs="Arial"/>
                <w:b w:val="0"/>
                <w:sz w:val="24"/>
                <w:szCs w:val="24"/>
              </w:rPr>
            </w:pPr>
            <w:r>
              <w:rPr>
                <w:rStyle w:val="Strong"/>
                <w:rFonts w:ascii="Arial" w:hAnsi="Arial" w:cs="Arial"/>
                <w:b w:val="0"/>
                <w:sz w:val="24"/>
                <w:szCs w:val="24"/>
              </w:rPr>
              <w:t>$4,046,000,000</w:t>
            </w:r>
          </w:p>
        </w:tc>
      </w:tr>
    </w:tbl>
    <w:p w:rsidR="0068024E" w:rsidRDefault="0068024E" w:rsidP="0068024E">
      <w:pPr>
        <w:pStyle w:val="ListParagraph"/>
        <w:ind w:left="0"/>
        <w:rPr>
          <w:rStyle w:val="Strong"/>
          <w:rFonts w:ascii="Arial" w:hAnsi="Arial" w:cs="Arial"/>
          <w:b w:val="0"/>
          <w:sz w:val="24"/>
          <w:szCs w:val="24"/>
        </w:rPr>
      </w:pPr>
    </w:p>
    <w:p w:rsidR="00A157AA" w:rsidRDefault="00A157AA" w:rsidP="0068024E">
      <w:pPr>
        <w:pStyle w:val="ListParagraph"/>
        <w:ind w:left="0"/>
        <w:rPr>
          <w:rStyle w:val="Strong"/>
          <w:rFonts w:ascii="Arial" w:hAnsi="Arial" w:cs="Arial"/>
          <w:b w:val="0"/>
          <w:sz w:val="24"/>
          <w:szCs w:val="24"/>
        </w:rPr>
      </w:pPr>
    </w:p>
    <w:p w:rsidR="00961123" w:rsidRDefault="00961123" w:rsidP="00961123">
      <w:pPr>
        <w:pStyle w:val="ListParagraph"/>
        <w:ind w:left="0"/>
        <w:rPr>
          <w:rFonts w:ascii="Arial" w:hAnsi="Arial" w:cs="Arial"/>
          <w:bCs/>
          <w:sz w:val="24"/>
          <w:szCs w:val="24"/>
        </w:rPr>
      </w:pPr>
      <w:r>
        <w:rPr>
          <w:rFonts w:ascii="Arial" w:hAnsi="Arial" w:cs="Arial"/>
          <w:bCs/>
          <w:sz w:val="24"/>
          <w:szCs w:val="24"/>
          <w:u w:val="single"/>
        </w:rPr>
        <w:t>Gait Disturbance</w:t>
      </w:r>
      <w:r w:rsidRPr="00D95089">
        <w:rPr>
          <w:rFonts w:ascii="Arial" w:hAnsi="Arial" w:cs="Arial"/>
          <w:bCs/>
          <w:sz w:val="24"/>
          <w:szCs w:val="24"/>
          <w:u w:val="single"/>
        </w:rPr>
        <w:t>.</w:t>
      </w:r>
      <w:r>
        <w:rPr>
          <w:rFonts w:ascii="Arial" w:hAnsi="Arial" w:cs="Arial"/>
          <w:bCs/>
          <w:sz w:val="24"/>
          <w:szCs w:val="24"/>
        </w:rPr>
        <w:t xml:space="preserve">  The estimated annual cost of medical care for “Gait Disturbance” per person is at least $10,043, if it is caused by </w:t>
      </w:r>
      <w:proofErr w:type="gramStart"/>
      <w:r>
        <w:rPr>
          <w:rFonts w:ascii="Arial" w:hAnsi="Arial" w:cs="Arial"/>
          <w:bCs/>
          <w:sz w:val="24"/>
          <w:szCs w:val="24"/>
        </w:rPr>
        <w:t>Parkinson’s Disease</w:t>
      </w:r>
      <w:proofErr w:type="gramEnd"/>
      <w:r>
        <w:rPr>
          <w:rFonts w:ascii="Arial" w:hAnsi="Arial" w:cs="Arial"/>
          <w:bCs/>
          <w:sz w:val="24"/>
          <w:szCs w:val="24"/>
        </w:rPr>
        <w:t>.  (Chen, Jack, “</w:t>
      </w:r>
      <w:proofErr w:type="gramStart"/>
      <w:r>
        <w:rPr>
          <w:rFonts w:ascii="Arial" w:hAnsi="Arial" w:cs="Arial"/>
          <w:bCs/>
          <w:sz w:val="24"/>
          <w:szCs w:val="24"/>
        </w:rPr>
        <w:t>Parkinson’s Disease</w:t>
      </w:r>
      <w:proofErr w:type="gramEnd"/>
      <w:r>
        <w:rPr>
          <w:rFonts w:ascii="Arial" w:hAnsi="Arial" w:cs="Arial"/>
          <w:bCs/>
          <w:sz w:val="24"/>
          <w:szCs w:val="24"/>
        </w:rPr>
        <w:t>:  Health-Related Quality of Life, Economic Cost, and Implications of Early Treatment.”  American Journal of Managed Care, March 17, 2010</w:t>
      </w:r>
      <w:proofErr w:type="gramStart"/>
      <w:r>
        <w:rPr>
          <w:rFonts w:ascii="Arial" w:hAnsi="Arial" w:cs="Arial"/>
          <w:bCs/>
          <w:sz w:val="24"/>
          <w:szCs w:val="24"/>
        </w:rPr>
        <w:t xml:space="preserve">)  </w:t>
      </w:r>
      <w:r w:rsidR="00FB24A0">
        <w:rPr>
          <w:rFonts w:ascii="Arial" w:hAnsi="Arial" w:cs="Arial"/>
          <w:bCs/>
          <w:sz w:val="24"/>
          <w:szCs w:val="24"/>
        </w:rPr>
        <w:t>Indirect</w:t>
      </w:r>
      <w:proofErr w:type="gramEnd"/>
      <w:r w:rsidR="00FB24A0">
        <w:rPr>
          <w:rFonts w:ascii="Arial" w:hAnsi="Arial" w:cs="Arial"/>
          <w:bCs/>
          <w:sz w:val="24"/>
          <w:szCs w:val="24"/>
        </w:rPr>
        <w:t xml:space="preserve"> costs for “Gait Disturbance” per person is estimated at $9,135, if it is caused by Parkinson’s Disease.</w:t>
      </w:r>
    </w:p>
    <w:p w:rsidR="00213F63" w:rsidRDefault="00213F63" w:rsidP="0068024E">
      <w:pPr>
        <w:pStyle w:val="ListParagraph"/>
        <w:ind w:left="0"/>
        <w:rPr>
          <w:rStyle w:val="Strong"/>
          <w:rFonts w:ascii="Arial" w:hAnsi="Arial" w:cs="Arial"/>
          <w:b w:val="0"/>
          <w:sz w:val="24"/>
          <w:szCs w:val="24"/>
        </w:rPr>
      </w:pPr>
    </w:p>
    <w:p w:rsidR="00A157AA" w:rsidRDefault="00A157AA" w:rsidP="0068024E">
      <w:pPr>
        <w:pStyle w:val="ListParagraph"/>
        <w:ind w:left="0"/>
        <w:rPr>
          <w:rStyle w:val="Strong"/>
          <w:rFonts w:ascii="Arial" w:hAnsi="Arial" w:cs="Arial"/>
          <w:b w:val="0"/>
          <w:sz w:val="24"/>
          <w:szCs w:val="24"/>
        </w:rPr>
      </w:pPr>
    </w:p>
    <w:tbl>
      <w:tblPr>
        <w:tblStyle w:val="TableGrid"/>
        <w:tblW w:w="9350" w:type="dxa"/>
        <w:tblLook w:val="04A0" w:firstRow="1" w:lastRow="0" w:firstColumn="1" w:lastColumn="0" w:noHBand="0" w:noVBand="1"/>
      </w:tblPr>
      <w:tblGrid>
        <w:gridCol w:w="3235"/>
        <w:gridCol w:w="2070"/>
        <w:gridCol w:w="2070"/>
        <w:gridCol w:w="1975"/>
      </w:tblGrid>
      <w:tr w:rsidR="00A157AA" w:rsidTr="00237B4D">
        <w:tc>
          <w:tcPr>
            <w:tcW w:w="9350" w:type="dxa"/>
            <w:gridSpan w:val="4"/>
          </w:tcPr>
          <w:p w:rsidR="00A157AA"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Levaquin</w:t>
            </w:r>
          </w:p>
          <w:p w:rsidR="00A157AA" w:rsidRDefault="007131F0" w:rsidP="00E95D6F">
            <w:pPr>
              <w:pStyle w:val="ListParagraph"/>
              <w:ind w:left="0"/>
              <w:jc w:val="center"/>
              <w:rPr>
                <w:rStyle w:val="Strong"/>
                <w:rFonts w:ascii="Arial" w:hAnsi="Arial" w:cs="Arial"/>
                <w:sz w:val="24"/>
                <w:szCs w:val="24"/>
              </w:rPr>
            </w:pPr>
            <w:r>
              <w:rPr>
                <w:rStyle w:val="Strong"/>
                <w:rFonts w:ascii="Arial" w:hAnsi="Arial" w:cs="Arial"/>
                <w:sz w:val="24"/>
                <w:szCs w:val="24"/>
              </w:rPr>
              <w:t xml:space="preserve">FDA </w:t>
            </w:r>
            <w:r w:rsidR="00A157AA">
              <w:rPr>
                <w:rStyle w:val="Strong"/>
                <w:rFonts w:ascii="Arial" w:hAnsi="Arial" w:cs="Arial"/>
                <w:sz w:val="24"/>
                <w:szCs w:val="24"/>
              </w:rPr>
              <w:t>Adverse Event Reporting System (</w:t>
            </w:r>
            <w:r>
              <w:rPr>
                <w:rStyle w:val="Strong"/>
                <w:rFonts w:ascii="Arial" w:hAnsi="Arial" w:cs="Arial"/>
                <w:sz w:val="24"/>
                <w:szCs w:val="24"/>
              </w:rPr>
              <w:t>F</w:t>
            </w:r>
            <w:r w:rsidR="00A157AA">
              <w:rPr>
                <w:rStyle w:val="Strong"/>
                <w:rFonts w:ascii="Arial" w:hAnsi="Arial" w:cs="Arial"/>
                <w:sz w:val="24"/>
                <w:szCs w:val="24"/>
              </w:rPr>
              <w:t xml:space="preserve">AERS) </w:t>
            </w:r>
          </w:p>
          <w:p w:rsidR="00A157AA" w:rsidRPr="00146EE3"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November 1, 1997 – February 3, 2011</w:t>
            </w:r>
          </w:p>
        </w:tc>
      </w:tr>
      <w:tr w:rsidR="00A157AA" w:rsidTr="00237B4D">
        <w:tc>
          <w:tcPr>
            <w:tcW w:w="3235" w:type="dxa"/>
          </w:tcPr>
          <w:p w:rsidR="00A157AA" w:rsidRDefault="00A157AA" w:rsidP="00E95D6F">
            <w:pPr>
              <w:pStyle w:val="ListParagraph"/>
              <w:ind w:left="0"/>
              <w:rPr>
                <w:rStyle w:val="Strong"/>
                <w:rFonts w:ascii="Arial" w:hAnsi="Arial" w:cs="Arial"/>
                <w:b w:val="0"/>
                <w:sz w:val="24"/>
                <w:szCs w:val="24"/>
              </w:rPr>
            </w:pPr>
          </w:p>
        </w:tc>
        <w:tc>
          <w:tcPr>
            <w:tcW w:w="2070" w:type="dxa"/>
          </w:tcPr>
          <w:p w:rsidR="00FB24A0" w:rsidRDefault="00FB24A0" w:rsidP="00E95D6F">
            <w:pPr>
              <w:pStyle w:val="ListParagraph"/>
              <w:ind w:left="0"/>
              <w:jc w:val="center"/>
              <w:rPr>
                <w:rStyle w:val="Strong"/>
                <w:rFonts w:ascii="Arial" w:hAnsi="Arial" w:cs="Arial"/>
                <w:sz w:val="24"/>
                <w:szCs w:val="24"/>
              </w:rPr>
            </w:pPr>
          </w:p>
          <w:p w:rsidR="00A157AA"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“Gait Disturbance”</w:t>
            </w:r>
          </w:p>
          <w:p w:rsidR="00A157AA"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Actual</w:t>
            </w:r>
          </w:p>
          <w:p w:rsidR="00A157AA" w:rsidRPr="00146EE3"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Reported</w:t>
            </w:r>
          </w:p>
        </w:tc>
        <w:tc>
          <w:tcPr>
            <w:tcW w:w="2070" w:type="dxa"/>
          </w:tcPr>
          <w:p w:rsidR="00A157AA"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“Gait Disturbance”</w:t>
            </w:r>
          </w:p>
          <w:p w:rsidR="00A157AA" w:rsidRPr="00146EE3"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Assuming Only 10% Were Reported</w:t>
            </w:r>
          </w:p>
        </w:tc>
        <w:tc>
          <w:tcPr>
            <w:tcW w:w="1975" w:type="dxa"/>
          </w:tcPr>
          <w:p w:rsidR="00A157AA"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w:t>
            </w:r>
            <w:r w:rsidR="00961123">
              <w:rPr>
                <w:rStyle w:val="Strong"/>
                <w:rFonts w:ascii="Arial" w:hAnsi="Arial" w:cs="Arial"/>
                <w:sz w:val="24"/>
                <w:szCs w:val="24"/>
              </w:rPr>
              <w:t>Gait Disturbance</w:t>
            </w:r>
            <w:r>
              <w:rPr>
                <w:rStyle w:val="Strong"/>
                <w:rFonts w:ascii="Arial" w:hAnsi="Arial" w:cs="Arial"/>
                <w:sz w:val="24"/>
                <w:szCs w:val="24"/>
              </w:rPr>
              <w:t>”</w:t>
            </w:r>
          </w:p>
          <w:p w:rsidR="00A157AA" w:rsidRPr="00146EE3" w:rsidRDefault="00A157AA" w:rsidP="00E95D6F">
            <w:pPr>
              <w:pStyle w:val="ListParagraph"/>
              <w:ind w:left="0"/>
              <w:jc w:val="center"/>
              <w:rPr>
                <w:rStyle w:val="Strong"/>
                <w:rFonts w:ascii="Arial" w:hAnsi="Arial" w:cs="Arial"/>
                <w:sz w:val="24"/>
                <w:szCs w:val="24"/>
              </w:rPr>
            </w:pPr>
            <w:r>
              <w:rPr>
                <w:rStyle w:val="Strong"/>
                <w:rFonts w:ascii="Arial" w:hAnsi="Arial" w:cs="Arial"/>
                <w:sz w:val="24"/>
                <w:szCs w:val="24"/>
              </w:rPr>
              <w:t>Assuming Only 1% Were Reported</w:t>
            </w:r>
          </w:p>
        </w:tc>
      </w:tr>
      <w:tr w:rsidR="00A157AA" w:rsidTr="00237B4D">
        <w:tc>
          <w:tcPr>
            <w:tcW w:w="3235" w:type="dxa"/>
          </w:tcPr>
          <w:p w:rsidR="00A157AA" w:rsidRDefault="00A157AA" w:rsidP="00E95D6F">
            <w:pPr>
              <w:pStyle w:val="ListParagraph"/>
              <w:ind w:left="0"/>
              <w:rPr>
                <w:rStyle w:val="Strong"/>
                <w:rFonts w:ascii="Arial" w:hAnsi="Arial" w:cs="Arial"/>
                <w:b w:val="0"/>
                <w:sz w:val="24"/>
                <w:szCs w:val="24"/>
              </w:rPr>
            </w:pPr>
            <w:r>
              <w:rPr>
                <w:rStyle w:val="Strong"/>
                <w:rFonts w:ascii="Arial" w:hAnsi="Arial" w:cs="Arial"/>
                <w:b w:val="0"/>
                <w:sz w:val="24"/>
                <w:szCs w:val="24"/>
              </w:rPr>
              <w:t>3% of Reported Adverse Events are “Pain”</w:t>
            </w:r>
          </w:p>
        </w:tc>
        <w:tc>
          <w:tcPr>
            <w:tcW w:w="2070"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2,380</w:t>
            </w:r>
          </w:p>
        </w:tc>
        <w:tc>
          <w:tcPr>
            <w:tcW w:w="2070"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23,800</w:t>
            </w:r>
          </w:p>
        </w:tc>
        <w:tc>
          <w:tcPr>
            <w:tcW w:w="1975"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238,000</w:t>
            </w:r>
          </w:p>
        </w:tc>
      </w:tr>
      <w:tr w:rsidR="00A157AA" w:rsidTr="00237B4D">
        <w:tc>
          <w:tcPr>
            <w:tcW w:w="3235" w:type="dxa"/>
          </w:tcPr>
          <w:p w:rsidR="00A157AA" w:rsidRDefault="00A157AA" w:rsidP="00E95D6F">
            <w:pPr>
              <w:pStyle w:val="ListParagraph"/>
              <w:ind w:left="0"/>
              <w:rPr>
                <w:rStyle w:val="Strong"/>
                <w:rFonts w:ascii="Arial" w:hAnsi="Arial" w:cs="Arial"/>
                <w:b w:val="0"/>
                <w:sz w:val="24"/>
                <w:szCs w:val="24"/>
              </w:rPr>
            </w:pPr>
            <w:r>
              <w:rPr>
                <w:rStyle w:val="Strong"/>
                <w:rFonts w:ascii="Arial" w:hAnsi="Arial" w:cs="Arial"/>
                <w:b w:val="0"/>
                <w:sz w:val="24"/>
                <w:szCs w:val="24"/>
              </w:rPr>
              <w:t xml:space="preserve">Estimated Annual </w:t>
            </w:r>
            <w:r w:rsidR="00FB24A0">
              <w:rPr>
                <w:rStyle w:val="Strong"/>
                <w:rFonts w:ascii="Arial" w:hAnsi="Arial" w:cs="Arial"/>
                <w:b w:val="0"/>
                <w:sz w:val="24"/>
                <w:szCs w:val="24"/>
              </w:rPr>
              <w:t xml:space="preserve">Direct </w:t>
            </w:r>
            <w:r>
              <w:rPr>
                <w:rStyle w:val="Strong"/>
                <w:rFonts w:ascii="Arial" w:hAnsi="Arial" w:cs="Arial"/>
                <w:b w:val="0"/>
                <w:sz w:val="24"/>
                <w:szCs w:val="24"/>
              </w:rPr>
              <w:t>Cost to Treat Painful Neuropathic Disorder (PND)</w:t>
            </w:r>
            <w:r w:rsidR="00961123">
              <w:rPr>
                <w:rStyle w:val="Strong"/>
                <w:rFonts w:ascii="Arial" w:hAnsi="Arial" w:cs="Arial"/>
                <w:b w:val="0"/>
                <w:sz w:val="24"/>
                <w:szCs w:val="24"/>
              </w:rPr>
              <w:t xml:space="preserve"> per Person:  $10,043</w:t>
            </w:r>
          </w:p>
        </w:tc>
        <w:tc>
          <w:tcPr>
            <w:tcW w:w="2070"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w:t>
            </w:r>
            <w:r w:rsidR="00601308">
              <w:rPr>
                <w:rStyle w:val="Strong"/>
                <w:rFonts w:ascii="Arial" w:hAnsi="Arial" w:cs="Arial"/>
                <w:b w:val="0"/>
                <w:sz w:val="24"/>
                <w:szCs w:val="24"/>
              </w:rPr>
              <w:t>23,902,340</w:t>
            </w:r>
          </w:p>
        </w:tc>
        <w:tc>
          <w:tcPr>
            <w:tcW w:w="2070"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A157AA" w:rsidRDefault="00961123" w:rsidP="00601308">
            <w:pPr>
              <w:pStyle w:val="ListParagraph"/>
              <w:ind w:left="0"/>
              <w:jc w:val="center"/>
              <w:rPr>
                <w:rStyle w:val="Strong"/>
                <w:rFonts w:ascii="Arial" w:hAnsi="Arial" w:cs="Arial"/>
                <w:b w:val="0"/>
                <w:sz w:val="24"/>
                <w:szCs w:val="24"/>
              </w:rPr>
            </w:pPr>
            <w:r>
              <w:rPr>
                <w:rStyle w:val="Strong"/>
                <w:rFonts w:ascii="Arial" w:hAnsi="Arial" w:cs="Arial"/>
                <w:b w:val="0"/>
                <w:sz w:val="24"/>
                <w:szCs w:val="24"/>
              </w:rPr>
              <w:t>$</w:t>
            </w:r>
            <w:r w:rsidR="00601308">
              <w:rPr>
                <w:rStyle w:val="Strong"/>
                <w:rFonts w:ascii="Arial" w:hAnsi="Arial" w:cs="Arial"/>
                <w:b w:val="0"/>
                <w:sz w:val="24"/>
                <w:szCs w:val="24"/>
              </w:rPr>
              <w:t>239,023,400</w:t>
            </w:r>
          </w:p>
        </w:tc>
        <w:tc>
          <w:tcPr>
            <w:tcW w:w="1975" w:type="dxa"/>
          </w:tcPr>
          <w:p w:rsidR="00A157AA" w:rsidRDefault="00A157AA" w:rsidP="00E95D6F">
            <w:pPr>
              <w:pStyle w:val="ListParagraph"/>
              <w:ind w:left="0"/>
              <w:jc w:val="center"/>
              <w:rPr>
                <w:rStyle w:val="Strong"/>
                <w:rFonts w:ascii="Arial" w:hAnsi="Arial" w:cs="Arial"/>
                <w:b w:val="0"/>
                <w:sz w:val="24"/>
                <w:szCs w:val="24"/>
              </w:rPr>
            </w:pPr>
          </w:p>
          <w:p w:rsidR="00A157AA" w:rsidRDefault="00A157AA" w:rsidP="00E95D6F">
            <w:pPr>
              <w:pStyle w:val="ListParagraph"/>
              <w:ind w:left="0"/>
              <w:jc w:val="center"/>
              <w:rPr>
                <w:rStyle w:val="Strong"/>
                <w:rFonts w:ascii="Arial" w:hAnsi="Arial" w:cs="Arial"/>
                <w:b w:val="0"/>
                <w:sz w:val="24"/>
                <w:szCs w:val="24"/>
              </w:rPr>
            </w:pPr>
            <w:r>
              <w:rPr>
                <w:rStyle w:val="Strong"/>
                <w:rFonts w:ascii="Arial" w:hAnsi="Arial" w:cs="Arial"/>
                <w:b w:val="0"/>
                <w:sz w:val="24"/>
                <w:szCs w:val="24"/>
              </w:rPr>
              <w:t>Estimated Cost:</w:t>
            </w:r>
          </w:p>
          <w:p w:rsidR="00A157AA" w:rsidRDefault="00961123" w:rsidP="00601308">
            <w:pPr>
              <w:pStyle w:val="ListParagraph"/>
              <w:ind w:left="0"/>
              <w:jc w:val="center"/>
              <w:rPr>
                <w:rStyle w:val="Strong"/>
                <w:rFonts w:ascii="Arial" w:hAnsi="Arial" w:cs="Arial"/>
                <w:b w:val="0"/>
                <w:sz w:val="24"/>
                <w:szCs w:val="24"/>
              </w:rPr>
            </w:pPr>
            <w:r>
              <w:rPr>
                <w:rStyle w:val="Strong"/>
                <w:rFonts w:ascii="Arial" w:hAnsi="Arial" w:cs="Arial"/>
                <w:b w:val="0"/>
                <w:sz w:val="24"/>
                <w:szCs w:val="24"/>
              </w:rPr>
              <w:t>$</w:t>
            </w:r>
            <w:r w:rsidR="00601308">
              <w:rPr>
                <w:rStyle w:val="Strong"/>
                <w:rFonts w:ascii="Arial" w:hAnsi="Arial" w:cs="Arial"/>
                <w:b w:val="0"/>
                <w:sz w:val="24"/>
                <w:szCs w:val="24"/>
              </w:rPr>
              <w:t>2,390,234,000</w:t>
            </w:r>
          </w:p>
        </w:tc>
      </w:tr>
    </w:tbl>
    <w:p w:rsidR="00A157AA" w:rsidRDefault="00A157AA" w:rsidP="00A157AA">
      <w:pPr>
        <w:pStyle w:val="ListParagraph"/>
        <w:ind w:left="0"/>
        <w:rPr>
          <w:rStyle w:val="Strong"/>
          <w:rFonts w:ascii="Arial" w:hAnsi="Arial" w:cs="Arial"/>
          <w:b w:val="0"/>
          <w:sz w:val="24"/>
          <w:szCs w:val="24"/>
        </w:rPr>
      </w:pPr>
    </w:p>
    <w:p w:rsidR="00A157AA" w:rsidRDefault="00A157AA" w:rsidP="0068024E">
      <w:pPr>
        <w:pStyle w:val="ListParagraph"/>
        <w:ind w:left="0"/>
        <w:rPr>
          <w:rStyle w:val="Strong"/>
          <w:rFonts w:ascii="Arial" w:hAnsi="Arial" w:cs="Arial"/>
          <w:b w:val="0"/>
          <w:sz w:val="24"/>
          <w:szCs w:val="24"/>
        </w:rPr>
      </w:pPr>
    </w:p>
    <w:p w:rsidR="008F3C07" w:rsidRDefault="00004E3C" w:rsidP="00E83F28">
      <w:pPr>
        <w:pStyle w:val="ListParagraph"/>
        <w:ind w:left="0"/>
        <w:rPr>
          <w:rStyle w:val="Strong"/>
          <w:rFonts w:ascii="Arial" w:hAnsi="Arial" w:cs="Arial"/>
          <w:b w:val="0"/>
          <w:sz w:val="24"/>
          <w:szCs w:val="24"/>
        </w:rPr>
      </w:pPr>
      <w:r>
        <w:rPr>
          <w:rStyle w:val="Strong"/>
          <w:rFonts w:ascii="Arial" w:hAnsi="Arial" w:cs="Arial"/>
          <w:b w:val="0"/>
          <w:sz w:val="24"/>
          <w:szCs w:val="24"/>
        </w:rPr>
        <w:lastRenderedPageBreak/>
        <w:t xml:space="preserve">As noted, it is not possible </w:t>
      </w:r>
      <w:r w:rsidR="007131F0">
        <w:rPr>
          <w:rStyle w:val="Strong"/>
          <w:rFonts w:ascii="Arial" w:hAnsi="Arial" w:cs="Arial"/>
          <w:b w:val="0"/>
          <w:sz w:val="24"/>
          <w:szCs w:val="24"/>
        </w:rPr>
        <w:t>to conclude whether the aforementioned nine Levaquin reported</w:t>
      </w:r>
      <w:r w:rsidR="008F3C07">
        <w:rPr>
          <w:rStyle w:val="Strong"/>
          <w:rFonts w:ascii="Arial" w:hAnsi="Arial" w:cs="Arial"/>
          <w:b w:val="0"/>
          <w:sz w:val="24"/>
          <w:szCs w:val="24"/>
        </w:rPr>
        <w:t xml:space="preserve"> </w:t>
      </w:r>
      <w:r w:rsidR="007131F0">
        <w:rPr>
          <w:rStyle w:val="Strong"/>
          <w:rFonts w:ascii="Arial" w:hAnsi="Arial" w:cs="Arial"/>
          <w:b w:val="0"/>
          <w:sz w:val="24"/>
          <w:szCs w:val="24"/>
        </w:rPr>
        <w:t>Adverse E</w:t>
      </w:r>
      <w:r>
        <w:rPr>
          <w:rStyle w:val="Strong"/>
          <w:rFonts w:ascii="Arial" w:hAnsi="Arial" w:cs="Arial"/>
          <w:b w:val="0"/>
          <w:sz w:val="24"/>
          <w:szCs w:val="24"/>
        </w:rPr>
        <w:t>vents</w:t>
      </w:r>
      <w:r w:rsidR="007131F0">
        <w:rPr>
          <w:rStyle w:val="Strong"/>
          <w:rFonts w:ascii="Arial" w:hAnsi="Arial" w:cs="Arial"/>
          <w:b w:val="0"/>
          <w:sz w:val="24"/>
          <w:szCs w:val="24"/>
        </w:rPr>
        <w:t xml:space="preserve"> totaling 31%</w:t>
      </w:r>
      <w:r>
        <w:rPr>
          <w:rStyle w:val="Strong"/>
          <w:rFonts w:ascii="Arial" w:hAnsi="Arial" w:cs="Arial"/>
          <w:b w:val="0"/>
          <w:sz w:val="24"/>
          <w:szCs w:val="24"/>
        </w:rPr>
        <w:t xml:space="preserve"> are, or are not, related to “Mitoc</w:t>
      </w:r>
      <w:r w:rsidR="007131F0">
        <w:rPr>
          <w:rStyle w:val="Strong"/>
          <w:rFonts w:ascii="Arial" w:hAnsi="Arial" w:cs="Arial"/>
          <w:b w:val="0"/>
          <w:sz w:val="24"/>
          <w:szCs w:val="24"/>
        </w:rPr>
        <w:t>h</w:t>
      </w:r>
      <w:r>
        <w:rPr>
          <w:rStyle w:val="Strong"/>
          <w:rFonts w:ascii="Arial" w:hAnsi="Arial" w:cs="Arial"/>
          <w:b w:val="0"/>
          <w:sz w:val="24"/>
          <w:szCs w:val="24"/>
        </w:rPr>
        <w:t>ondrial Toxicity.”</w:t>
      </w:r>
      <w:r w:rsidR="008F3C07">
        <w:rPr>
          <w:rStyle w:val="Strong"/>
          <w:rFonts w:ascii="Arial" w:hAnsi="Arial" w:cs="Arial"/>
          <w:b w:val="0"/>
          <w:sz w:val="24"/>
          <w:szCs w:val="24"/>
        </w:rPr>
        <w:t xml:space="preserve">  The t</w:t>
      </w:r>
      <w:r w:rsidR="005C324B">
        <w:rPr>
          <w:rStyle w:val="Strong"/>
          <w:rFonts w:ascii="Arial" w:hAnsi="Arial" w:cs="Arial"/>
          <w:b w:val="0"/>
          <w:sz w:val="24"/>
          <w:szCs w:val="24"/>
        </w:rPr>
        <w:t xml:space="preserve">otal cost to treat </w:t>
      </w:r>
      <w:r w:rsidR="008F3C07">
        <w:rPr>
          <w:rStyle w:val="Strong"/>
          <w:rFonts w:ascii="Arial" w:hAnsi="Arial" w:cs="Arial"/>
          <w:b w:val="0"/>
          <w:sz w:val="24"/>
          <w:szCs w:val="24"/>
        </w:rPr>
        <w:t>potential “Mitochondrial Toxicity” Adverse Events, however, is clearly significant.</w:t>
      </w:r>
      <w:r>
        <w:rPr>
          <w:rStyle w:val="Strong"/>
          <w:rFonts w:ascii="Arial" w:hAnsi="Arial" w:cs="Arial"/>
          <w:b w:val="0"/>
          <w:sz w:val="24"/>
          <w:szCs w:val="24"/>
        </w:rPr>
        <w:t xml:space="preserve">  </w:t>
      </w:r>
    </w:p>
    <w:p w:rsidR="008F3C07" w:rsidRDefault="008F3C07" w:rsidP="00E83F28">
      <w:pPr>
        <w:pStyle w:val="ListParagraph"/>
        <w:ind w:left="0"/>
        <w:rPr>
          <w:rStyle w:val="Strong"/>
          <w:rFonts w:ascii="Arial" w:hAnsi="Arial" w:cs="Arial"/>
          <w:b w:val="0"/>
          <w:sz w:val="24"/>
          <w:szCs w:val="24"/>
        </w:rPr>
      </w:pPr>
    </w:p>
    <w:p w:rsidR="00B155DE" w:rsidRPr="00CF74B6" w:rsidRDefault="007131F0" w:rsidP="00E83F28">
      <w:pPr>
        <w:pStyle w:val="ListParagraph"/>
        <w:ind w:left="0"/>
        <w:rPr>
          <w:rFonts w:ascii="Arial" w:hAnsi="Arial" w:cs="Arial"/>
          <w:bCs/>
          <w:sz w:val="24"/>
          <w:szCs w:val="24"/>
        </w:rPr>
      </w:pPr>
      <w:r>
        <w:rPr>
          <w:rStyle w:val="Strong"/>
          <w:rFonts w:ascii="Arial" w:hAnsi="Arial" w:cs="Arial"/>
          <w:b w:val="0"/>
          <w:sz w:val="24"/>
          <w:szCs w:val="24"/>
        </w:rPr>
        <w:t>Furthermore,</w:t>
      </w:r>
      <w:r w:rsidR="006E5D5E">
        <w:rPr>
          <w:rStyle w:val="Strong"/>
          <w:rFonts w:ascii="Arial" w:hAnsi="Arial" w:cs="Arial"/>
          <w:b w:val="0"/>
          <w:sz w:val="24"/>
          <w:szCs w:val="24"/>
        </w:rPr>
        <w:t xml:space="preserve"> it should be noted that</w:t>
      </w:r>
      <w:r>
        <w:rPr>
          <w:rStyle w:val="Strong"/>
          <w:rFonts w:ascii="Arial" w:hAnsi="Arial" w:cs="Arial"/>
          <w:b w:val="0"/>
          <w:sz w:val="24"/>
          <w:szCs w:val="24"/>
        </w:rPr>
        <w:t xml:space="preserve"> </w:t>
      </w:r>
      <w:r w:rsidR="00CF228F">
        <w:rPr>
          <w:rStyle w:val="Strong"/>
          <w:rFonts w:ascii="Arial" w:hAnsi="Arial" w:cs="Arial"/>
          <w:b w:val="0"/>
          <w:sz w:val="24"/>
          <w:szCs w:val="24"/>
        </w:rPr>
        <w:t xml:space="preserve">Levaquin is sometimes the clinically most appropriate </w:t>
      </w:r>
      <w:r w:rsidR="00F93F76">
        <w:rPr>
          <w:rStyle w:val="Strong"/>
          <w:rFonts w:ascii="Arial" w:hAnsi="Arial" w:cs="Arial"/>
          <w:b w:val="0"/>
          <w:sz w:val="24"/>
          <w:szCs w:val="24"/>
        </w:rPr>
        <w:t>drug</w:t>
      </w:r>
      <w:r w:rsidR="006E5D5E">
        <w:rPr>
          <w:rStyle w:val="Strong"/>
          <w:rFonts w:ascii="Arial" w:hAnsi="Arial" w:cs="Arial"/>
          <w:b w:val="0"/>
          <w:sz w:val="24"/>
          <w:szCs w:val="24"/>
        </w:rPr>
        <w:t xml:space="preserve"> of choice.  S</w:t>
      </w:r>
      <w:r w:rsidR="004F31D1">
        <w:rPr>
          <w:rStyle w:val="Strong"/>
          <w:rFonts w:ascii="Arial" w:hAnsi="Arial" w:cs="Arial"/>
          <w:b w:val="0"/>
          <w:sz w:val="24"/>
          <w:szCs w:val="24"/>
        </w:rPr>
        <w:t xml:space="preserve">ome of these </w:t>
      </w:r>
      <w:r>
        <w:rPr>
          <w:rStyle w:val="Strong"/>
          <w:rFonts w:ascii="Arial" w:hAnsi="Arial" w:cs="Arial"/>
          <w:b w:val="0"/>
          <w:sz w:val="24"/>
          <w:szCs w:val="24"/>
        </w:rPr>
        <w:t xml:space="preserve">potential </w:t>
      </w:r>
      <w:r w:rsidR="004F31D1">
        <w:rPr>
          <w:rStyle w:val="Strong"/>
          <w:rFonts w:ascii="Arial" w:hAnsi="Arial" w:cs="Arial"/>
          <w:b w:val="0"/>
          <w:sz w:val="24"/>
          <w:szCs w:val="24"/>
        </w:rPr>
        <w:t xml:space="preserve">“Mitochondrial Toxicity” </w:t>
      </w:r>
      <w:r w:rsidR="00CF228F">
        <w:rPr>
          <w:rStyle w:val="Strong"/>
          <w:rFonts w:ascii="Arial" w:hAnsi="Arial" w:cs="Arial"/>
          <w:b w:val="0"/>
          <w:sz w:val="24"/>
          <w:szCs w:val="24"/>
        </w:rPr>
        <w:t>Adverse Events</w:t>
      </w:r>
      <w:r w:rsidR="006E5D5E">
        <w:rPr>
          <w:rStyle w:val="Strong"/>
          <w:rFonts w:ascii="Arial" w:hAnsi="Arial" w:cs="Arial"/>
          <w:b w:val="0"/>
          <w:sz w:val="24"/>
          <w:szCs w:val="24"/>
        </w:rPr>
        <w:t>, therefore,</w:t>
      </w:r>
      <w:r w:rsidR="00CF228F">
        <w:rPr>
          <w:rStyle w:val="Strong"/>
          <w:rFonts w:ascii="Arial" w:hAnsi="Arial" w:cs="Arial"/>
          <w:b w:val="0"/>
          <w:sz w:val="24"/>
          <w:szCs w:val="24"/>
        </w:rPr>
        <w:t xml:space="preserve"> were not preventable.  In other circumstances, however, if there had been</w:t>
      </w:r>
      <w:r>
        <w:rPr>
          <w:rStyle w:val="Strong"/>
          <w:rFonts w:ascii="Arial" w:hAnsi="Arial" w:cs="Arial"/>
          <w:b w:val="0"/>
          <w:sz w:val="24"/>
          <w:szCs w:val="24"/>
        </w:rPr>
        <w:t xml:space="preserve"> Warnings, including</w:t>
      </w:r>
      <w:r w:rsidR="00CF228F">
        <w:rPr>
          <w:rStyle w:val="Strong"/>
          <w:rFonts w:ascii="Arial" w:hAnsi="Arial" w:cs="Arial"/>
          <w:b w:val="0"/>
          <w:sz w:val="24"/>
          <w:szCs w:val="24"/>
        </w:rPr>
        <w:t xml:space="preserve"> </w:t>
      </w:r>
      <w:r w:rsidR="00CF74B6">
        <w:rPr>
          <w:rStyle w:val="Strong"/>
          <w:rFonts w:ascii="Arial" w:hAnsi="Arial" w:cs="Arial"/>
          <w:b w:val="0"/>
          <w:sz w:val="24"/>
          <w:szCs w:val="24"/>
        </w:rPr>
        <w:t xml:space="preserve">a </w:t>
      </w:r>
      <w:r w:rsidR="00CF228F">
        <w:rPr>
          <w:rStyle w:val="Strong"/>
          <w:rFonts w:ascii="Arial" w:hAnsi="Arial" w:cs="Arial"/>
          <w:b w:val="0"/>
          <w:sz w:val="24"/>
          <w:szCs w:val="24"/>
        </w:rPr>
        <w:t>Black Box</w:t>
      </w:r>
      <w:r w:rsidR="00CF74B6">
        <w:rPr>
          <w:rStyle w:val="Strong"/>
          <w:rFonts w:ascii="Arial" w:hAnsi="Arial" w:cs="Arial"/>
          <w:b w:val="0"/>
          <w:sz w:val="24"/>
          <w:szCs w:val="24"/>
        </w:rPr>
        <w:t xml:space="preserve"> Warning</w:t>
      </w:r>
      <w:r>
        <w:rPr>
          <w:rStyle w:val="Strong"/>
          <w:rFonts w:ascii="Arial" w:hAnsi="Arial" w:cs="Arial"/>
          <w:b w:val="0"/>
          <w:sz w:val="24"/>
          <w:szCs w:val="24"/>
        </w:rPr>
        <w:t>,</w:t>
      </w:r>
      <w:r w:rsidR="004F31D1">
        <w:rPr>
          <w:rStyle w:val="Strong"/>
          <w:rFonts w:ascii="Arial" w:hAnsi="Arial" w:cs="Arial"/>
          <w:b w:val="0"/>
          <w:sz w:val="24"/>
          <w:szCs w:val="24"/>
        </w:rPr>
        <w:t xml:space="preserve"> about the potential for </w:t>
      </w:r>
      <w:r w:rsidR="006E5D5E">
        <w:rPr>
          <w:rStyle w:val="Strong"/>
          <w:rFonts w:ascii="Arial" w:hAnsi="Arial" w:cs="Arial"/>
          <w:b w:val="0"/>
          <w:sz w:val="24"/>
          <w:szCs w:val="24"/>
        </w:rPr>
        <w:t xml:space="preserve">Levaquin </w:t>
      </w:r>
      <w:r w:rsidR="004F31D1">
        <w:rPr>
          <w:rStyle w:val="Strong"/>
          <w:rFonts w:ascii="Arial" w:hAnsi="Arial" w:cs="Arial"/>
          <w:b w:val="0"/>
          <w:sz w:val="24"/>
          <w:szCs w:val="24"/>
        </w:rPr>
        <w:t>“Mitochondrial Toxicity</w:t>
      </w:r>
      <w:r w:rsidR="00CF228F">
        <w:rPr>
          <w:rStyle w:val="Strong"/>
          <w:rFonts w:ascii="Arial" w:hAnsi="Arial" w:cs="Arial"/>
          <w:b w:val="0"/>
          <w:sz w:val="24"/>
          <w:szCs w:val="24"/>
        </w:rPr>
        <w:t>,</w:t>
      </w:r>
      <w:r w:rsidR="004F31D1">
        <w:rPr>
          <w:rStyle w:val="Strong"/>
          <w:rFonts w:ascii="Arial" w:hAnsi="Arial" w:cs="Arial"/>
          <w:b w:val="0"/>
          <w:sz w:val="24"/>
          <w:szCs w:val="24"/>
        </w:rPr>
        <w:t>”</w:t>
      </w:r>
      <w:r w:rsidR="00CF74B6">
        <w:rPr>
          <w:rStyle w:val="Strong"/>
          <w:rFonts w:ascii="Arial" w:hAnsi="Arial" w:cs="Arial"/>
          <w:b w:val="0"/>
          <w:sz w:val="24"/>
          <w:szCs w:val="24"/>
        </w:rPr>
        <w:t xml:space="preserve"> some physicians may</w:t>
      </w:r>
      <w:r w:rsidR="00CF228F">
        <w:rPr>
          <w:rStyle w:val="Strong"/>
          <w:rFonts w:ascii="Arial" w:hAnsi="Arial" w:cs="Arial"/>
          <w:b w:val="0"/>
          <w:sz w:val="24"/>
          <w:szCs w:val="24"/>
        </w:rPr>
        <w:t xml:space="preserve"> not have prescribed Levaquin for some patie</w:t>
      </w:r>
      <w:r w:rsidR="006E5A23">
        <w:rPr>
          <w:rStyle w:val="Strong"/>
          <w:rFonts w:ascii="Arial" w:hAnsi="Arial" w:cs="Arial"/>
          <w:b w:val="0"/>
          <w:sz w:val="24"/>
          <w:szCs w:val="24"/>
        </w:rPr>
        <w:t>nts</w:t>
      </w:r>
      <w:r w:rsidR="006E5D5E">
        <w:rPr>
          <w:rStyle w:val="Strong"/>
          <w:rFonts w:ascii="Arial" w:hAnsi="Arial" w:cs="Arial"/>
          <w:b w:val="0"/>
          <w:sz w:val="24"/>
          <w:szCs w:val="24"/>
        </w:rPr>
        <w:t>.  Thus,</w:t>
      </w:r>
      <w:r w:rsidR="006E5A23">
        <w:rPr>
          <w:rStyle w:val="Strong"/>
          <w:rFonts w:ascii="Arial" w:hAnsi="Arial" w:cs="Arial"/>
          <w:b w:val="0"/>
          <w:sz w:val="24"/>
          <w:szCs w:val="24"/>
        </w:rPr>
        <w:t xml:space="preserve"> the direct medical care co</w:t>
      </w:r>
      <w:r w:rsidR="006E5D5E">
        <w:rPr>
          <w:rStyle w:val="Strong"/>
          <w:rFonts w:ascii="Arial" w:hAnsi="Arial" w:cs="Arial"/>
          <w:b w:val="0"/>
          <w:sz w:val="24"/>
          <w:szCs w:val="24"/>
        </w:rPr>
        <w:t xml:space="preserve">st and </w:t>
      </w:r>
      <w:r w:rsidR="006E5A23">
        <w:rPr>
          <w:rStyle w:val="Strong"/>
          <w:rFonts w:ascii="Arial" w:hAnsi="Arial" w:cs="Arial"/>
          <w:b w:val="0"/>
          <w:sz w:val="24"/>
          <w:szCs w:val="24"/>
        </w:rPr>
        <w:t xml:space="preserve">indirect cost </w:t>
      </w:r>
      <w:r w:rsidR="00CF228F">
        <w:rPr>
          <w:rStyle w:val="Strong"/>
          <w:rFonts w:ascii="Arial" w:hAnsi="Arial" w:cs="Arial"/>
          <w:b w:val="0"/>
          <w:sz w:val="24"/>
          <w:szCs w:val="24"/>
        </w:rPr>
        <w:t xml:space="preserve">to treat these </w:t>
      </w:r>
      <w:r>
        <w:rPr>
          <w:rStyle w:val="Strong"/>
          <w:rFonts w:ascii="Arial" w:hAnsi="Arial" w:cs="Arial"/>
          <w:b w:val="0"/>
          <w:sz w:val="24"/>
          <w:szCs w:val="24"/>
        </w:rPr>
        <w:t xml:space="preserve">Levaquin </w:t>
      </w:r>
      <w:r w:rsidR="00CF228F">
        <w:rPr>
          <w:rStyle w:val="Strong"/>
          <w:rFonts w:ascii="Arial" w:hAnsi="Arial" w:cs="Arial"/>
          <w:b w:val="0"/>
          <w:sz w:val="24"/>
          <w:szCs w:val="24"/>
        </w:rPr>
        <w:t>Advers</w:t>
      </w:r>
      <w:r w:rsidR="006E5D5E">
        <w:rPr>
          <w:rStyle w:val="Strong"/>
          <w:rFonts w:ascii="Arial" w:hAnsi="Arial" w:cs="Arial"/>
          <w:b w:val="0"/>
          <w:sz w:val="24"/>
          <w:szCs w:val="24"/>
        </w:rPr>
        <w:t>e Events c</w:t>
      </w:r>
      <w:r w:rsidR="00CF74B6">
        <w:rPr>
          <w:rStyle w:val="Strong"/>
          <w:rFonts w:ascii="Arial" w:hAnsi="Arial" w:cs="Arial"/>
          <w:b w:val="0"/>
          <w:sz w:val="24"/>
          <w:szCs w:val="24"/>
        </w:rPr>
        <w:t>ould have been</w:t>
      </w:r>
      <w:r w:rsidR="00CF228F">
        <w:rPr>
          <w:rStyle w:val="Strong"/>
          <w:rFonts w:ascii="Arial" w:hAnsi="Arial" w:cs="Arial"/>
          <w:b w:val="0"/>
          <w:sz w:val="24"/>
          <w:szCs w:val="24"/>
        </w:rPr>
        <w:t xml:space="preserve"> reduced.  Given that many of th</w:t>
      </w:r>
      <w:r w:rsidR="00CF74B6">
        <w:rPr>
          <w:rStyle w:val="Strong"/>
          <w:rFonts w:ascii="Arial" w:hAnsi="Arial" w:cs="Arial"/>
          <w:b w:val="0"/>
          <w:sz w:val="24"/>
          <w:szCs w:val="24"/>
        </w:rPr>
        <w:t>ese individuals were most likely</w:t>
      </w:r>
      <w:r w:rsidR="00CF228F">
        <w:rPr>
          <w:rStyle w:val="Strong"/>
          <w:rFonts w:ascii="Arial" w:hAnsi="Arial" w:cs="Arial"/>
          <w:b w:val="0"/>
          <w:sz w:val="24"/>
          <w:szCs w:val="24"/>
        </w:rPr>
        <w:t xml:space="preserve"> enrolled </w:t>
      </w:r>
      <w:r>
        <w:rPr>
          <w:rStyle w:val="Strong"/>
          <w:rFonts w:ascii="Arial" w:hAnsi="Arial" w:cs="Arial"/>
          <w:b w:val="0"/>
          <w:sz w:val="24"/>
          <w:szCs w:val="24"/>
        </w:rPr>
        <w:t>in Medicare and Medicaid, this c</w:t>
      </w:r>
      <w:r w:rsidR="00CF228F">
        <w:rPr>
          <w:rStyle w:val="Strong"/>
          <w:rFonts w:ascii="Arial" w:hAnsi="Arial" w:cs="Arial"/>
          <w:b w:val="0"/>
          <w:sz w:val="24"/>
          <w:szCs w:val="24"/>
        </w:rPr>
        <w:t>ould</w:t>
      </w:r>
      <w:r>
        <w:rPr>
          <w:rStyle w:val="Strong"/>
          <w:rFonts w:ascii="Arial" w:hAnsi="Arial" w:cs="Arial"/>
          <w:b w:val="0"/>
          <w:sz w:val="24"/>
          <w:szCs w:val="24"/>
        </w:rPr>
        <w:t xml:space="preserve"> significantly</w:t>
      </w:r>
      <w:r w:rsidR="00CF228F">
        <w:rPr>
          <w:rStyle w:val="Strong"/>
          <w:rFonts w:ascii="Arial" w:hAnsi="Arial" w:cs="Arial"/>
          <w:b w:val="0"/>
          <w:sz w:val="24"/>
          <w:szCs w:val="24"/>
        </w:rPr>
        <w:t xml:space="preserve"> reduce the overall cost of these government-funded programs.</w:t>
      </w:r>
      <w:r w:rsidR="00F93F76">
        <w:rPr>
          <w:rStyle w:val="Strong"/>
          <w:rFonts w:ascii="Arial" w:hAnsi="Arial" w:cs="Arial"/>
          <w:b w:val="0"/>
          <w:sz w:val="24"/>
          <w:szCs w:val="24"/>
        </w:rPr>
        <w:t xml:space="preserve">  </w:t>
      </w:r>
    </w:p>
    <w:p w:rsidR="000F252A" w:rsidRDefault="000F252A" w:rsidP="00C43C28">
      <w:pPr>
        <w:ind w:left="720"/>
        <w:rPr>
          <w:rStyle w:val="Strong"/>
          <w:rFonts w:ascii="Arial" w:hAnsi="Arial" w:cs="Arial"/>
          <w:b w:val="0"/>
          <w:sz w:val="24"/>
          <w:szCs w:val="24"/>
        </w:rPr>
      </w:pPr>
    </w:p>
    <w:p w:rsidR="000F252A" w:rsidRPr="009C08A3" w:rsidRDefault="000F252A" w:rsidP="000F252A">
      <w:pPr>
        <w:rPr>
          <w:rStyle w:val="Strong"/>
          <w:rFonts w:ascii="Arial" w:hAnsi="Arial" w:cs="Arial"/>
          <w:sz w:val="24"/>
          <w:szCs w:val="24"/>
        </w:rPr>
      </w:pPr>
      <w:r w:rsidRPr="009C08A3">
        <w:rPr>
          <w:rStyle w:val="Strong"/>
          <w:rFonts w:ascii="Arial" w:hAnsi="Arial" w:cs="Arial"/>
          <w:sz w:val="24"/>
          <w:szCs w:val="24"/>
        </w:rPr>
        <w:t>E.  CERTIFICATION</w:t>
      </w:r>
    </w:p>
    <w:p w:rsidR="000F252A" w:rsidRDefault="000F252A" w:rsidP="000F252A">
      <w:pPr>
        <w:rPr>
          <w:rStyle w:val="Strong"/>
          <w:rFonts w:ascii="Arial" w:hAnsi="Arial" w:cs="Arial"/>
          <w:b w:val="0"/>
          <w:sz w:val="24"/>
          <w:szCs w:val="24"/>
        </w:rPr>
      </w:pPr>
      <w:r>
        <w:rPr>
          <w:rStyle w:val="Strong"/>
          <w:rFonts w:ascii="Arial" w:hAnsi="Arial" w:cs="Arial"/>
          <w:b w:val="0"/>
          <w:sz w:val="24"/>
          <w:szCs w:val="24"/>
        </w:rPr>
        <w:t>The undersigned certifies, that, to the best knowledge and b</w:t>
      </w:r>
      <w:r w:rsidR="00103CB3">
        <w:rPr>
          <w:rStyle w:val="Strong"/>
          <w:rFonts w:ascii="Arial" w:hAnsi="Arial" w:cs="Arial"/>
          <w:b w:val="0"/>
          <w:sz w:val="24"/>
          <w:szCs w:val="24"/>
        </w:rPr>
        <w:t>elief of the undersigned, this P</w:t>
      </w:r>
      <w:r>
        <w:rPr>
          <w:rStyle w:val="Strong"/>
          <w:rFonts w:ascii="Arial" w:hAnsi="Arial" w:cs="Arial"/>
          <w:b w:val="0"/>
          <w:sz w:val="24"/>
          <w:szCs w:val="24"/>
        </w:rPr>
        <w:t>etition includes all in</w:t>
      </w:r>
      <w:r w:rsidR="00C84ABA">
        <w:rPr>
          <w:rStyle w:val="Strong"/>
          <w:rFonts w:ascii="Arial" w:hAnsi="Arial" w:cs="Arial"/>
          <w:b w:val="0"/>
          <w:sz w:val="24"/>
          <w:szCs w:val="24"/>
        </w:rPr>
        <w:t>formation</w:t>
      </w:r>
      <w:r w:rsidR="00103CB3">
        <w:rPr>
          <w:rStyle w:val="Strong"/>
          <w:rFonts w:ascii="Arial" w:hAnsi="Arial" w:cs="Arial"/>
          <w:b w:val="0"/>
          <w:sz w:val="24"/>
          <w:szCs w:val="24"/>
        </w:rPr>
        <w:t xml:space="preserve"> and view on which the P</w:t>
      </w:r>
      <w:r>
        <w:rPr>
          <w:rStyle w:val="Strong"/>
          <w:rFonts w:ascii="Arial" w:hAnsi="Arial" w:cs="Arial"/>
          <w:b w:val="0"/>
          <w:sz w:val="24"/>
          <w:szCs w:val="24"/>
        </w:rPr>
        <w:t>etition relies, and that it inclu</w:t>
      </w:r>
      <w:r w:rsidR="00C84ABA">
        <w:rPr>
          <w:rStyle w:val="Strong"/>
          <w:rFonts w:ascii="Arial" w:hAnsi="Arial" w:cs="Arial"/>
          <w:b w:val="0"/>
          <w:sz w:val="24"/>
          <w:szCs w:val="24"/>
        </w:rPr>
        <w:t xml:space="preserve">des representative data </w:t>
      </w:r>
      <w:r>
        <w:rPr>
          <w:rStyle w:val="Strong"/>
          <w:rFonts w:ascii="Arial" w:hAnsi="Arial" w:cs="Arial"/>
          <w:b w:val="0"/>
          <w:sz w:val="24"/>
          <w:szCs w:val="24"/>
        </w:rPr>
        <w:t>a</w:t>
      </w:r>
      <w:r w:rsidR="00C84ABA">
        <w:rPr>
          <w:rStyle w:val="Strong"/>
          <w:rFonts w:ascii="Arial" w:hAnsi="Arial" w:cs="Arial"/>
          <w:b w:val="0"/>
          <w:sz w:val="24"/>
          <w:szCs w:val="24"/>
        </w:rPr>
        <w:t>n</w:t>
      </w:r>
      <w:r w:rsidR="00103CB3">
        <w:rPr>
          <w:rStyle w:val="Strong"/>
          <w:rFonts w:ascii="Arial" w:hAnsi="Arial" w:cs="Arial"/>
          <w:b w:val="0"/>
          <w:sz w:val="24"/>
          <w:szCs w:val="24"/>
        </w:rPr>
        <w:t>d information know</w:t>
      </w:r>
      <w:r w:rsidR="007131F0">
        <w:rPr>
          <w:rStyle w:val="Strong"/>
          <w:rFonts w:ascii="Arial" w:hAnsi="Arial" w:cs="Arial"/>
          <w:b w:val="0"/>
          <w:sz w:val="24"/>
          <w:szCs w:val="24"/>
        </w:rPr>
        <w:t>n</w:t>
      </w:r>
      <w:r w:rsidR="00103CB3">
        <w:rPr>
          <w:rStyle w:val="Strong"/>
          <w:rFonts w:ascii="Arial" w:hAnsi="Arial" w:cs="Arial"/>
          <w:b w:val="0"/>
          <w:sz w:val="24"/>
          <w:szCs w:val="24"/>
        </w:rPr>
        <w:t xml:space="preserve"> to the P</w:t>
      </w:r>
      <w:r>
        <w:rPr>
          <w:rStyle w:val="Strong"/>
          <w:rFonts w:ascii="Arial" w:hAnsi="Arial" w:cs="Arial"/>
          <w:b w:val="0"/>
          <w:sz w:val="24"/>
          <w:szCs w:val="24"/>
        </w:rPr>
        <w:t>etitioner</w:t>
      </w:r>
      <w:r w:rsidR="00103CB3">
        <w:rPr>
          <w:rStyle w:val="Strong"/>
          <w:rFonts w:ascii="Arial" w:hAnsi="Arial" w:cs="Arial"/>
          <w:b w:val="0"/>
          <w:sz w:val="24"/>
          <w:szCs w:val="24"/>
        </w:rPr>
        <w:t xml:space="preserve">, which </w:t>
      </w:r>
      <w:proofErr w:type="gramStart"/>
      <w:r w:rsidR="00103CB3">
        <w:rPr>
          <w:rStyle w:val="Strong"/>
          <w:rFonts w:ascii="Arial" w:hAnsi="Arial" w:cs="Arial"/>
          <w:b w:val="0"/>
          <w:sz w:val="24"/>
          <w:szCs w:val="24"/>
        </w:rPr>
        <w:t>are</w:t>
      </w:r>
      <w:proofErr w:type="gramEnd"/>
      <w:r w:rsidR="00103CB3">
        <w:rPr>
          <w:rStyle w:val="Strong"/>
          <w:rFonts w:ascii="Arial" w:hAnsi="Arial" w:cs="Arial"/>
          <w:b w:val="0"/>
          <w:sz w:val="24"/>
          <w:szCs w:val="24"/>
        </w:rPr>
        <w:t xml:space="preserve"> unfavorable to the P</w:t>
      </w:r>
      <w:r>
        <w:rPr>
          <w:rStyle w:val="Strong"/>
          <w:rFonts w:ascii="Arial" w:hAnsi="Arial" w:cs="Arial"/>
          <w:b w:val="0"/>
          <w:sz w:val="24"/>
          <w:szCs w:val="24"/>
        </w:rPr>
        <w:t>etitioner.</w:t>
      </w:r>
    </w:p>
    <w:p w:rsidR="000F252A" w:rsidRDefault="000F252A" w:rsidP="002F38E0">
      <w:pPr>
        <w:spacing w:after="0"/>
        <w:rPr>
          <w:rStyle w:val="Strong"/>
          <w:rFonts w:ascii="Arial" w:hAnsi="Arial" w:cs="Arial"/>
          <w:b w:val="0"/>
          <w:sz w:val="24"/>
          <w:szCs w:val="24"/>
        </w:rPr>
      </w:pPr>
      <w:r>
        <w:rPr>
          <w:rStyle w:val="Strong"/>
          <w:rFonts w:ascii="Arial" w:hAnsi="Arial" w:cs="Arial"/>
          <w:b w:val="0"/>
          <w:sz w:val="24"/>
          <w:szCs w:val="24"/>
        </w:rPr>
        <w:t>Respectfully yours,</w:t>
      </w:r>
    </w:p>
    <w:p w:rsidR="002F38E0" w:rsidRDefault="002F38E0" w:rsidP="002F38E0">
      <w:pPr>
        <w:spacing w:after="0"/>
        <w:rPr>
          <w:rStyle w:val="Strong"/>
          <w:rFonts w:ascii="Arial" w:hAnsi="Arial" w:cs="Arial"/>
          <w:b w:val="0"/>
          <w:sz w:val="24"/>
          <w:szCs w:val="24"/>
        </w:rPr>
      </w:pPr>
    </w:p>
    <w:p w:rsidR="00702B3F" w:rsidRDefault="009205E9" w:rsidP="002F38E0">
      <w:pPr>
        <w:spacing w:after="0"/>
        <w:rPr>
          <w:rStyle w:val="Strong"/>
          <w:rFonts w:ascii="Arial" w:hAnsi="Arial" w:cs="Arial"/>
          <w:b w:val="0"/>
          <w:sz w:val="24"/>
          <w:szCs w:val="24"/>
        </w:rPr>
      </w:pPr>
      <w:r>
        <w:rPr>
          <w:rStyle w:val="Strong"/>
          <w:rFonts w:ascii="Arial" w:hAnsi="Arial" w:cs="Arial"/>
          <w:b w:val="0"/>
          <w:sz w:val="24"/>
          <w:szCs w:val="24"/>
        </w:rPr>
        <w:t>Charles Bennett, M.D.</w:t>
      </w:r>
      <w:r w:rsidR="00081EAB">
        <w:rPr>
          <w:rStyle w:val="Strong"/>
          <w:rFonts w:ascii="Arial" w:hAnsi="Arial" w:cs="Arial"/>
          <w:b w:val="0"/>
          <w:sz w:val="24"/>
          <w:szCs w:val="24"/>
        </w:rPr>
        <w:t>, Ph.D., M.P.P.</w:t>
      </w:r>
      <w:r w:rsidR="001804B7">
        <w:rPr>
          <w:rStyle w:val="Strong"/>
          <w:rFonts w:ascii="Arial" w:hAnsi="Arial" w:cs="Arial"/>
          <w:b w:val="0"/>
          <w:sz w:val="24"/>
          <w:szCs w:val="24"/>
        </w:rPr>
        <w:t xml:space="preserve">  </w:t>
      </w:r>
    </w:p>
    <w:p w:rsidR="00C07B44"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Center for Medication Safety and Efficacy</w:t>
      </w:r>
    </w:p>
    <w:p w:rsidR="00081EAB" w:rsidRPr="002F38E0" w:rsidRDefault="00081EAB" w:rsidP="002F38E0">
      <w:pPr>
        <w:spacing w:after="0"/>
        <w:rPr>
          <w:rStyle w:val="Strong"/>
          <w:rFonts w:ascii="Arial" w:hAnsi="Arial" w:cs="Arial"/>
          <w:b w:val="0"/>
          <w:sz w:val="24"/>
          <w:szCs w:val="24"/>
        </w:rPr>
      </w:pPr>
      <w:r w:rsidRPr="002F38E0">
        <w:rPr>
          <w:rStyle w:val="Strong"/>
          <w:rFonts w:ascii="Arial" w:hAnsi="Arial" w:cs="Arial"/>
          <w:b w:val="0"/>
          <w:sz w:val="24"/>
          <w:szCs w:val="24"/>
        </w:rPr>
        <w:t>Southern Network on Adverse Reactions (SONAR),</w:t>
      </w:r>
    </w:p>
    <w:p w:rsidR="00C07B44" w:rsidRPr="002F38E0"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South Carolina College of Pharmacy/USC Campus</w:t>
      </w:r>
    </w:p>
    <w:p w:rsidR="00C07B44" w:rsidRPr="002F38E0"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715 Sumter Street, Suite 311-L</w:t>
      </w:r>
    </w:p>
    <w:p w:rsidR="00C07B44" w:rsidRPr="002F38E0"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Columbia SC 29208</w:t>
      </w:r>
    </w:p>
    <w:p w:rsidR="00C07B44" w:rsidRPr="002F38E0"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803-777-2289-office</w:t>
      </w:r>
    </w:p>
    <w:p w:rsidR="00C07B44" w:rsidRPr="002F38E0" w:rsidRDefault="00C07B44" w:rsidP="002F38E0">
      <w:pPr>
        <w:spacing w:after="0"/>
        <w:rPr>
          <w:rStyle w:val="Strong"/>
          <w:rFonts w:ascii="Arial" w:hAnsi="Arial" w:cs="Arial"/>
          <w:b w:val="0"/>
          <w:sz w:val="24"/>
          <w:szCs w:val="24"/>
        </w:rPr>
      </w:pPr>
      <w:r w:rsidRPr="002F38E0">
        <w:rPr>
          <w:rStyle w:val="Strong"/>
          <w:rFonts w:ascii="Arial" w:hAnsi="Arial" w:cs="Arial"/>
          <w:b w:val="0"/>
          <w:sz w:val="24"/>
          <w:szCs w:val="24"/>
        </w:rPr>
        <w:t>803-777-2820-fax</w:t>
      </w:r>
    </w:p>
    <w:p w:rsidR="00C07B44" w:rsidRPr="00702B3F" w:rsidRDefault="00C07B44" w:rsidP="00C66E8D">
      <w:pPr>
        <w:rPr>
          <w:b/>
        </w:rPr>
      </w:pPr>
    </w:p>
    <w:sectPr w:rsidR="00C07B44" w:rsidRPr="00702B3F" w:rsidSect="00A81B7F">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11CE" w:rsidRDefault="00C111CE" w:rsidP="00250B9F">
      <w:pPr>
        <w:spacing w:after="0" w:line="240" w:lineRule="auto"/>
      </w:pPr>
      <w:r>
        <w:separator/>
      </w:r>
    </w:p>
  </w:endnote>
  <w:endnote w:type="continuationSeparator" w:id="0">
    <w:p w:rsidR="00C111CE" w:rsidRDefault="00C111CE" w:rsidP="00250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00022FF" w:usb1="C000205B" w:usb2="0000000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09" w:rsidRDefault="00D95A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9951734"/>
      <w:docPartObj>
        <w:docPartGallery w:val="Page Numbers (Bottom of Page)"/>
        <w:docPartUnique/>
      </w:docPartObj>
    </w:sdtPr>
    <w:sdtEndPr>
      <w:rPr>
        <w:noProof/>
      </w:rPr>
    </w:sdtEndPr>
    <w:sdtContent>
      <w:p w:rsidR="00D95A09" w:rsidRDefault="00D95A09">
        <w:pPr>
          <w:pStyle w:val="Footer"/>
          <w:jc w:val="center"/>
        </w:pPr>
        <w:r>
          <w:fldChar w:fldCharType="begin"/>
        </w:r>
        <w:r>
          <w:instrText xml:space="preserve"> PAGE   \* MERGEFORMAT </w:instrText>
        </w:r>
        <w:r>
          <w:fldChar w:fldCharType="separate"/>
        </w:r>
        <w:r w:rsidR="002E51BA">
          <w:rPr>
            <w:noProof/>
          </w:rPr>
          <w:t>1</w:t>
        </w:r>
        <w:r>
          <w:rPr>
            <w:noProof/>
          </w:rPr>
          <w:fldChar w:fldCharType="end"/>
        </w:r>
      </w:p>
    </w:sdtContent>
  </w:sdt>
  <w:p w:rsidR="00D95A09" w:rsidRDefault="00D95A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09" w:rsidRDefault="00D95A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11CE" w:rsidRDefault="00C111CE" w:rsidP="00250B9F">
      <w:pPr>
        <w:spacing w:after="0" w:line="240" w:lineRule="auto"/>
      </w:pPr>
      <w:r>
        <w:separator/>
      </w:r>
    </w:p>
  </w:footnote>
  <w:footnote w:type="continuationSeparator" w:id="0">
    <w:p w:rsidR="00C111CE" w:rsidRDefault="00C111CE" w:rsidP="00250B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09" w:rsidRDefault="00D95A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09" w:rsidRDefault="00D95A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A09" w:rsidRDefault="00D95A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82F63"/>
    <w:multiLevelType w:val="hybridMultilevel"/>
    <w:tmpl w:val="5C8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7F188A"/>
    <w:multiLevelType w:val="hybridMultilevel"/>
    <w:tmpl w:val="6CB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6E6215"/>
    <w:multiLevelType w:val="hybridMultilevel"/>
    <w:tmpl w:val="7522FA4C"/>
    <w:lvl w:ilvl="0" w:tplc="611E25B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E91CE5"/>
    <w:multiLevelType w:val="hybridMultilevel"/>
    <w:tmpl w:val="6CB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B749A5"/>
    <w:multiLevelType w:val="hybridMultilevel"/>
    <w:tmpl w:val="6CB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F13FC7"/>
    <w:multiLevelType w:val="hybridMultilevel"/>
    <w:tmpl w:val="B0A2DC58"/>
    <w:lvl w:ilvl="0" w:tplc="0409000F">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1216FE7"/>
    <w:multiLevelType w:val="hybridMultilevel"/>
    <w:tmpl w:val="16BA2472"/>
    <w:lvl w:ilvl="0" w:tplc="04090001">
      <w:start w:val="1"/>
      <w:numFmt w:val="bullet"/>
      <w:lvlText w:val=""/>
      <w:lvlJc w:val="left"/>
      <w:pPr>
        <w:tabs>
          <w:tab w:val="num" w:pos="720"/>
        </w:tabs>
        <w:ind w:left="720" w:hanging="360"/>
      </w:pPr>
      <w:rPr>
        <w:rFonts w:ascii="Symbol" w:hAnsi="Symbol" w:hint="default"/>
      </w:rPr>
    </w:lvl>
    <w:lvl w:ilvl="1" w:tplc="6F487920">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2F17E2D"/>
    <w:multiLevelType w:val="hybridMultilevel"/>
    <w:tmpl w:val="F958563E"/>
    <w:lvl w:ilvl="0" w:tplc="26F638A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1C6D2D"/>
    <w:multiLevelType w:val="hybridMultilevel"/>
    <w:tmpl w:val="6CB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552CDB"/>
    <w:multiLevelType w:val="hybridMultilevel"/>
    <w:tmpl w:val="965E1378"/>
    <w:lvl w:ilvl="0" w:tplc="96FA8506">
      <w:start w:val="1"/>
      <w:numFmt w:val="upperLetter"/>
      <w:lvlText w:val="%1."/>
      <w:lvlJc w:val="left"/>
      <w:pPr>
        <w:ind w:left="720" w:hanging="360"/>
      </w:pPr>
      <w:rPr>
        <w:rFonts w:hint="default"/>
        <w:b w:val="0"/>
        <w:color w:val="403838"/>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F06723"/>
    <w:multiLevelType w:val="hybridMultilevel"/>
    <w:tmpl w:val="2B48D400"/>
    <w:lvl w:ilvl="0" w:tplc="069A9C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303510D"/>
    <w:multiLevelType w:val="hybridMultilevel"/>
    <w:tmpl w:val="F5BA68CC"/>
    <w:lvl w:ilvl="0" w:tplc="D07CD474">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7552E72"/>
    <w:multiLevelType w:val="hybridMultilevel"/>
    <w:tmpl w:val="350EE970"/>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5536C19"/>
    <w:multiLevelType w:val="hybridMultilevel"/>
    <w:tmpl w:val="6CBE2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9E6848"/>
    <w:multiLevelType w:val="hybridMultilevel"/>
    <w:tmpl w:val="433A52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13"/>
  </w:num>
  <w:num w:numId="4">
    <w:abstractNumId w:val="4"/>
  </w:num>
  <w:num w:numId="5">
    <w:abstractNumId w:val="1"/>
  </w:num>
  <w:num w:numId="6">
    <w:abstractNumId w:val="3"/>
  </w:num>
  <w:num w:numId="7">
    <w:abstractNumId w:val="8"/>
  </w:num>
  <w:num w:numId="8">
    <w:abstractNumId w:val="0"/>
  </w:num>
  <w:num w:numId="9">
    <w:abstractNumId w:val="6"/>
  </w:num>
  <w:num w:numId="10">
    <w:abstractNumId w:val="12"/>
  </w:num>
  <w:num w:numId="11">
    <w:abstractNumId w:val="7"/>
  </w:num>
  <w:num w:numId="12">
    <w:abstractNumId w:val="11"/>
  </w:num>
  <w:num w:numId="13">
    <w:abstractNumId w:val="2"/>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5DD"/>
    <w:rsid w:val="00004E3C"/>
    <w:rsid w:val="00016B83"/>
    <w:rsid w:val="00026454"/>
    <w:rsid w:val="000473B8"/>
    <w:rsid w:val="00054672"/>
    <w:rsid w:val="000669F0"/>
    <w:rsid w:val="000746C5"/>
    <w:rsid w:val="00081EAB"/>
    <w:rsid w:val="0009037C"/>
    <w:rsid w:val="000909AB"/>
    <w:rsid w:val="00092D1E"/>
    <w:rsid w:val="000C6406"/>
    <w:rsid w:val="000D3A0A"/>
    <w:rsid w:val="000E41D6"/>
    <w:rsid w:val="000F252A"/>
    <w:rsid w:val="00103CB3"/>
    <w:rsid w:val="00114510"/>
    <w:rsid w:val="00141472"/>
    <w:rsid w:val="001444B6"/>
    <w:rsid w:val="001469BC"/>
    <w:rsid w:val="00146EE3"/>
    <w:rsid w:val="00152E2E"/>
    <w:rsid w:val="001804B7"/>
    <w:rsid w:val="00184918"/>
    <w:rsid w:val="001C0970"/>
    <w:rsid w:val="001C1FDC"/>
    <w:rsid w:val="001C6CF5"/>
    <w:rsid w:val="00213F63"/>
    <w:rsid w:val="00214F31"/>
    <w:rsid w:val="00217C4B"/>
    <w:rsid w:val="0022088A"/>
    <w:rsid w:val="00237400"/>
    <w:rsid w:val="00237B4D"/>
    <w:rsid w:val="00245FE4"/>
    <w:rsid w:val="00250B9F"/>
    <w:rsid w:val="002B173D"/>
    <w:rsid w:val="002B4AE3"/>
    <w:rsid w:val="002C431A"/>
    <w:rsid w:val="002E51BA"/>
    <w:rsid w:val="002F38E0"/>
    <w:rsid w:val="00306B2E"/>
    <w:rsid w:val="00334231"/>
    <w:rsid w:val="00345279"/>
    <w:rsid w:val="00345F11"/>
    <w:rsid w:val="003657E4"/>
    <w:rsid w:val="00385998"/>
    <w:rsid w:val="0039125F"/>
    <w:rsid w:val="003B294A"/>
    <w:rsid w:val="003B6D85"/>
    <w:rsid w:val="003D2B87"/>
    <w:rsid w:val="003E6CA5"/>
    <w:rsid w:val="00402D4E"/>
    <w:rsid w:val="00443F18"/>
    <w:rsid w:val="00457080"/>
    <w:rsid w:val="00462795"/>
    <w:rsid w:val="00493AAE"/>
    <w:rsid w:val="00497DCE"/>
    <w:rsid w:val="004B756E"/>
    <w:rsid w:val="004D200B"/>
    <w:rsid w:val="004E0D48"/>
    <w:rsid w:val="004E1D09"/>
    <w:rsid w:val="004F31D1"/>
    <w:rsid w:val="005031AC"/>
    <w:rsid w:val="00565DDA"/>
    <w:rsid w:val="0058509A"/>
    <w:rsid w:val="0059121D"/>
    <w:rsid w:val="00596F68"/>
    <w:rsid w:val="00597E31"/>
    <w:rsid w:val="005A79BF"/>
    <w:rsid w:val="005C324B"/>
    <w:rsid w:val="005F4417"/>
    <w:rsid w:val="00601308"/>
    <w:rsid w:val="00603E71"/>
    <w:rsid w:val="00603E81"/>
    <w:rsid w:val="00627441"/>
    <w:rsid w:val="00643899"/>
    <w:rsid w:val="006458EF"/>
    <w:rsid w:val="00647547"/>
    <w:rsid w:val="00650678"/>
    <w:rsid w:val="00664C51"/>
    <w:rsid w:val="00666F2F"/>
    <w:rsid w:val="0068024E"/>
    <w:rsid w:val="006A6751"/>
    <w:rsid w:val="006A6823"/>
    <w:rsid w:val="006D605F"/>
    <w:rsid w:val="006E5A23"/>
    <w:rsid w:val="006E5D5E"/>
    <w:rsid w:val="00702B3F"/>
    <w:rsid w:val="0070519A"/>
    <w:rsid w:val="007131F0"/>
    <w:rsid w:val="00741956"/>
    <w:rsid w:val="00796AA5"/>
    <w:rsid w:val="007B1445"/>
    <w:rsid w:val="007E6CAC"/>
    <w:rsid w:val="00803A8A"/>
    <w:rsid w:val="00820D36"/>
    <w:rsid w:val="00842AEB"/>
    <w:rsid w:val="00867F37"/>
    <w:rsid w:val="008946A7"/>
    <w:rsid w:val="008B69AD"/>
    <w:rsid w:val="008C0985"/>
    <w:rsid w:val="008E23C1"/>
    <w:rsid w:val="008F1D4E"/>
    <w:rsid w:val="008F3C07"/>
    <w:rsid w:val="00905175"/>
    <w:rsid w:val="009068DA"/>
    <w:rsid w:val="0091647D"/>
    <w:rsid w:val="009205DD"/>
    <w:rsid w:val="009205E9"/>
    <w:rsid w:val="00954741"/>
    <w:rsid w:val="00961123"/>
    <w:rsid w:val="00970C39"/>
    <w:rsid w:val="00972169"/>
    <w:rsid w:val="009936B1"/>
    <w:rsid w:val="009A00CA"/>
    <w:rsid w:val="009A506F"/>
    <w:rsid w:val="009A64A5"/>
    <w:rsid w:val="009C08A3"/>
    <w:rsid w:val="009D23A1"/>
    <w:rsid w:val="00A00BE8"/>
    <w:rsid w:val="00A157AA"/>
    <w:rsid w:val="00A30189"/>
    <w:rsid w:val="00A52C83"/>
    <w:rsid w:val="00A805EE"/>
    <w:rsid w:val="00A81B7F"/>
    <w:rsid w:val="00A95A22"/>
    <w:rsid w:val="00AB1803"/>
    <w:rsid w:val="00AC041F"/>
    <w:rsid w:val="00AC0696"/>
    <w:rsid w:val="00B13C72"/>
    <w:rsid w:val="00B155DE"/>
    <w:rsid w:val="00B3345C"/>
    <w:rsid w:val="00B41764"/>
    <w:rsid w:val="00B46236"/>
    <w:rsid w:val="00B65938"/>
    <w:rsid w:val="00B733C5"/>
    <w:rsid w:val="00B753C6"/>
    <w:rsid w:val="00BA4453"/>
    <w:rsid w:val="00BB63B7"/>
    <w:rsid w:val="00BD2AE0"/>
    <w:rsid w:val="00C00F0A"/>
    <w:rsid w:val="00C06732"/>
    <w:rsid w:val="00C07B44"/>
    <w:rsid w:val="00C111CE"/>
    <w:rsid w:val="00C356CA"/>
    <w:rsid w:val="00C43C28"/>
    <w:rsid w:val="00C61B3D"/>
    <w:rsid w:val="00C66E8D"/>
    <w:rsid w:val="00C73EC3"/>
    <w:rsid w:val="00C742E3"/>
    <w:rsid w:val="00C807D3"/>
    <w:rsid w:val="00C84ABA"/>
    <w:rsid w:val="00C91A87"/>
    <w:rsid w:val="00C93F9E"/>
    <w:rsid w:val="00CB01AB"/>
    <w:rsid w:val="00CB268B"/>
    <w:rsid w:val="00CB2E45"/>
    <w:rsid w:val="00CF228F"/>
    <w:rsid w:val="00CF5CE2"/>
    <w:rsid w:val="00CF74B6"/>
    <w:rsid w:val="00D10951"/>
    <w:rsid w:val="00D147A3"/>
    <w:rsid w:val="00D17365"/>
    <w:rsid w:val="00D57A05"/>
    <w:rsid w:val="00D71CB6"/>
    <w:rsid w:val="00D7557A"/>
    <w:rsid w:val="00D760BD"/>
    <w:rsid w:val="00D946E0"/>
    <w:rsid w:val="00D9472F"/>
    <w:rsid w:val="00D95089"/>
    <w:rsid w:val="00D95A09"/>
    <w:rsid w:val="00DA75C4"/>
    <w:rsid w:val="00DC1C48"/>
    <w:rsid w:val="00DD4D42"/>
    <w:rsid w:val="00DD7908"/>
    <w:rsid w:val="00DF5051"/>
    <w:rsid w:val="00E1394D"/>
    <w:rsid w:val="00E36DB4"/>
    <w:rsid w:val="00E45726"/>
    <w:rsid w:val="00E633D9"/>
    <w:rsid w:val="00E83F28"/>
    <w:rsid w:val="00E90166"/>
    <w:rsid w:val="00E90AC8"/>
    <w:rsid w:val="00E90BA2"/>
    <w:rsid w:val="00E92B1F"/>
    <w:rsid w:val="00EA6E27"/>
    <w:rsid w:val="00EB4984"/>
    <w:rsid w:val="00EC7747"/>
    <w:rsid w:val="00EE4441"/>
    <w:rsid w:val="00EE7756"/>
    <w:rsid w:val="00EF36E4"/>
    <w:rsid w:val="00F1788B"/>
    <w:rsid w:val="00F24F72"/>
    <w:rsid w:val="00F5598A"/>
    <w:rsid w:val="00F64E85"/>
    <w:rsid w:val="00F77614"/>
    <w:rsid w:val="00F817AF"/>
    <w:rsid w:val="00F93F76"/>
    <w:rsid w:val="00FB0712"/>
    <w:rsid w:val="00FB24A0"/>
    <w:rsid w:val="00FB662D"/>
    <w:rsid w:val="00FF1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BA2"/>
    <w:rPr>
      <w:b/>
      <w:bCs/>
    </w:rPr>
  </w:style>
  <w:style w:type="paragraph" w:styleId="ListParagraph">
    <w:name w:val="List Paragraph"/>
    <w:basedOn w:val="Normal"/>
    <w:uiPriority w:val="34"/>
    <w:qFormat/>
    <w:rsid w:val="00C356CA"/>
    <w:pPr>
      <w:ind w:left="720"/>
      <w:contextualSpacing/>
    </w:pPr>
  </w:style>
  <w:style w:type="paragraph" w:customStyle="1" w:styleId="Default">
    <w:name w:val="Default"/>
    <w:uiPriority w:val="99"/>
    <w:rsid w:val="00402D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0">
    <w:name w:val="CM80"/>
    <w:basedOn w:val="Normal"/>
    <w:next w:val="Normal"/>
    <w:uiPriority w:val="99"/>
    <w:rsid w:val="008B69AD"/>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7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6C5"/>
    <w:rPr>
      <w:rFonts w:ascii="Segoe UI" w:hAnsi="Segoe UI" w:cs="Segoe UI"/>
      <w:sz w:val="18"/>
      <w:szCs w:val="18"/>
    </w:rPr>
  </w:style>
  <w:style w:type="paragraph" w:styleId="Header">
    <w:name w:val="header"/>
    <w:basedOn w:val="Normal"/>
    <w:link w:val="HeaderChar"/>
    <w:uiPriority w:val="99"/>
    <w:unhideWhenUsed/>
    <w:rsid w:val="0025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B9F"/>
  </w:style>
  <w:style w:type="paragraph" w:styleId="Footer">
    <w:name w:val="footer"/>
    <w:basedOn w:val="Normal"/>
    <w:link w:val="FooterChar"/>
    <w:uiPriority w:val="99"/>
    <w:unhideWhenUsed/>
    <w:rsid w:val="0025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B9F"/>
  </w:style>
  <w:style w:type="character" w:styleId="Hyperlink">
    <w:name w:val="Hyperlink"/>
    <w:basedOn w:val="DefaultParagraphFont"/>
    <w:uiPriority w:val="99"/>
    <w:unhideWhenUsed/>
    <w:rsid w:val="00B155DE"/>
    <w:rPr>
      <w:color w:val="0563C1" w:themeColor="hyperlink"/>
      <w:u w:val="single"/>
    </w:rPr>
  </w:style>
  <w:style w:type="character" w:styleId="HTMLCite">
    <w:name w:val="HTML Cite"/>
    <w:basedOn w:val="DefaultParagraphFont"/>
    <w:uiPriority w:val="99"/>
    <w:semiHidden/>
    <w:unhideWhenUsed/>
    <w:rsid w:val="00217C4B"/>
    <w:rPr>
      <w:i w:val="0"/>
      <w:iCs w:val="0"/>
      <w:color w:val="009030"/>
    </w:rPr>
  </w:style>
  <w:style w:type="character" w:styleId="PlaceholderText">
    <w:name w:val="Placeholder Text"/>
    <w:basedOn w:val="DefaultParagraphFont"/>
    <w:uiPriority w:val="99"/>
    <w:semiHidden/>
    <w:rsid w:val="000473B8"/>
    <w:rPr>
      <w:color w:val="808080"/>
    </w:rPr>
  </w:style>
  <w:style w:type="table" w:styleId="TableGrid">
    <w:name w:val="Table Grid"/>
    <w:basedOn w:val="TableNormal"/>
    <w:uiPriority w:val="39"/>
    <w:rsid w:val="00146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90BA2"/>
    <w:rPr>
      <w:b/>
      <w:bCs/>
    </w:rPr>
  </w:style>
  <w:style w:type="paragraph" w:styleId="ListParagraph">
    <w:name w:val="List Paragraph"/>
    <w:basedOn w:val="Normal"/>
    <w:uiPriority w:val="34"/>
    <w:qFormat/>
    <w:rsid w:val="00C356CA"/>
    <w:pPr>
      <w:ind w:left="720"/>
      <w:contextualSpacing/>
    </w:pPr>
  </w:style>
  <w:style w:type="paragraph" w:customStyle="1" w:styleId="Default">
    <w:name w:val="Default"/>
    <w:uiPriority w:val="99"/>
    <w:rsid w:val="00402D4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80">
    <w:name w:val="CM80"/>
    <w:basedOn w:val="Normal"/>
    <w:next w:val="Normal"/>
    <w:uiPriority w:val="99"/>
    <w:rsid w:val="008B69AD"/>
    <w:pPr>
      <w:autoSpaceDE w:val="0"/>
      <w:autoSpaceDN w:val="0"/>
      <w:adjustRightInd w:val="0"/>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074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6C5"/>
    <w:rPr>
      <w:rFonts w:ascii="Segoe UI" w:hAnsi="Segoe UI" w:cs="Segoe UI"/>
      <w:sz w:val="18"/>
      <w:szCs w:val="18"/>
    </w:rPr>
  </w:style>
  <w:style w:type="paragraph" w:styleId="Header">
    <w:name w:val="header"/>
    <w:basedOn w:val="Normal"/>
    <w:link w:val="HeaderChar"/>
    <w:uiPriority w:val="99"/>
    <w:unhideWhenUsed/>
    <w:rsid w:val="00250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B9F"/>
  </w:style>
  <w:style w:type="paragraph" w:styleId="Footer">
    <w:name w:val="footer"/>
    <w:basedOn w:val="Normal"/>
    <w:link w:val="FooterChar"/>
    <w:uiPriority w:val="99"/>
    <w:unhideWhenUsed/>
    <w:rsid w:val="00250B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B9F"/>
  </w:style>
  <w:style w:type="character" w:styleId="Hyperlink">
    <w:name w:val="Hyperlink"/>
    <w:basedOn w:val="DefaultParagraphFont"/>
    <w:uiPriority w:val="99"/>
    <w:unhideWhenUsed/>
    <w:rsid w:val="00B155DE"/>
    <w:rPr>
      <w:color w:val="0563C1" w:themeColor="hyperlink"/>
      <w:u w:val="single"/>
    </w:rPr>
  </w:style>
  <w:style w:type="character" w:styleId="HTMLCite">
    <w:name w:val="HTML Cite"/>
    <w:basedOn w:val="DefaultParagraphFont"/>
    <w:uiPriority w:val="99"/>
    <w:semiHidden/>
    <w:unhideWhenUsed/>
    <w:rsid w:val="00217C4B"/>
    <w:rPr>
      <w:i w:val="0"/>
      <w:iCs w:val="0"/>
      <w:color w:val="009030"/>
    </w:rPr>
  </w:style>
  <w:style w:type="character" w:styleId="PlaceholderText">
    <w:name w:val="Placeholder Text"/>
    <w:basedOn w:val="DefaultParagraphFont"/>
    <w:uiPriority w:val="99"/>
    <w:semiHidden/>
    <w:rsid w:val="000473B8"/>
    <w:rPr>
      <w:color w:val="808080"/>
    </w:rPr>
  </w:style>
  <w:style w:type="table" w:styleId="TableGrid">
    <w:name w:val="Table Grid"/>
    <w:basedOn w:val="TableNormal"/>
    <w:uiPriority w:val="39"/>
    <w:rsid w:val="00146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062667">
      <w:bodyDiv w:val="1"/>
      <w:marLeft w:val="0"/>
      <w:marRight w:val="0"/>
      <w:marTop w:val="0"/>
      <w:marBottom w:val="0"/>
      <w:divBdr>
        <w:top w:val="none" w:sz="0" w:space="0" w:color="auto"/>
        <w:left w:val="none" w:sz="0" w:space="0" w:color="auto"/>
        <w:bottom w:val="none" w:sz="0" w:space="0" w:color="auto"/>
        <w:right w:val="none" w:sz="0" w:space="0" w:color="auto"/>
      </w:divBdr>
    </w:div>
    <w:div w:id="89188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2898</Words>
  <Characters>16522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E.W. Scripps</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Martin</dc:creator>
  <cp:lastModifiedBy>Regan, Ron</cp:lastModifiedBy>
  <cp:revision>2</cp:revision>
  <cp:lastPrinted>2014-06-05T18:05:00Z</cp:lastPrinted>
  <dcterms:created xsi:type="dcterms:W3CDTF">2015-07-27T22:40:00Z</dcterms:created>
  <dcterms:modified xsi:type="dcterms:W3CDTF">2015-07-27T22:40:00Z</dcterms:modified>
</cp:coreProperties>
</file>